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wmf" ContentType="image/x-wmf"/>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adjustRightInd w:val="0"/>
        <w:spacing w:line="600" w:lineRule="auto"/>
        <w:ind w:right="42" w:rightChars="20"/>
        <w:jc w:val="left"/>
        <w:rPr>
          <w:b/>
          <w:sz w:val="48"/>
          <w:szCs w:val="48"/>
        </w:rPr>
      </w:pPr>
      <w:r>
        <w:rPr>
          <w:rFonts w:hint="eastAsia"/>
          <w:b/>
          <w:kern w:val="0"/>
          <w:sz w:val="24"/>
        </w:rPr>
        <w:t>风险评估报告</w:t>
      </w:r>
      <w:r>
        <w:rPr>
          <w:b/>
          <w:kern w:val="0"/>
          <w:sz w:val="24"/>
        </w:rPr>
        <w:t>版本号（201</w:t>
      </w:r>
      <w:r>
        <w:rPr>
          <w:rFonts w:hint="eastAsia"/>
          <w:b/>
          <w:kern w:val="0"/>
          <w:sz w:val="24"/>
        </w:rPr>
        <w:t>9</w:t>
      </w:r>
      <w:r>
        <w:rPr>
          <w:b/>
          <w:kern w:val="0"/>
          <w:sz w:val="24"/>
        </w:rPr>
        <w:t>）第一版</w:t>
      </w:r>
    </w:p>
    <w:p>
      <w:pPr>
        <w:autoSpaceDE w:val="0"/>
        <w:autoSpaceDN w:val="0"/>
        <w:adjustRightInd w:val="0"/>
        <w:spacing w:line="600" w:lineRule="auto"/>
        <w:ind w:left="105" w:leftChars="50" w:right="42" w:rightChars="20" w:firstLine="964"/>
        <w:jc w:val="center"/>
        <w:rPr>
          <w:b/>
          <w:sz w:val="48"/>
          <w:szCs w:val="48"/>
        </w:rPr>
      </w:pPr>
    </w:p>
    <w:p>
      <w:pPr>
        <w:autoSpaceDE w:val="0"/>
        <w:autoSpaceDN w:val="0"/>
        <w:adjustRightInd w:val="0"/>
        <w:spacing w:line="600" w:lineRule="auto"/>
        <w:ind w:right="42" w:rightChars="20"/>
        <w:jc w:val="center"/>
        <w:rPr>
          <w:rFonts w:ascii="宋体" w:hAnsi="宋体" w:cs="宋体"/>
          <w:b/>
          <w:sz w:val="44"/>
          <w:szCs w:val="44"/>
        </w:rPr>
      </w:pPr>
      <w:r>
        <w:rPr>
          <w:rFonts w:hint="eastAsia" w:ascii="宋体" w:hAnsi="宋体" w:cs="宋体"/>
          <w:b/>
          <w:sz w:val="44"/>
          <w:szCs w:val="44"/>
        </w:rPr>
        <w:t>中国</w:t>
      </w:r>
      <w:r>
        <w:rPr>
          <w:rFonts w:hint="eastAsia" w:ascii="宋体" w:hAnsi="宋体" w:cs="宋体"/>
          <w:b/>
          <w:sz w:val="44"/>
          <w:szCs w:val="44"/>
          <w:lang w:val="en-US" w:eastAsia="zh-CN"/>
        </w:rPr>
        <w:t>石油天然气</w:t>
      </w:r>
      <w:r>
        <w:rPr>
          <w:rFonts w:hint="eastAsia" w:ascii="宋体" w:hAnsi="宋体" w:cs="宋体"/>
          <w:b/>
          <w:sz w:val="44"/>
          <w:szCs w:val="44"/>
        </w:rPr>
        <w:t>股份有限公司</w:t>
      </w:r>
    </w:p>
    <w:p>
      <w:pPr>
        <w:autoSpaceDE w:val="0"/>
        <w:autoSpaceDN w:val="0"/>
        <w:adjustRightInd w:val="0"/>
        <w:spacing w:line="600" w:lineRule="auto"/>
        <w:ind w:left="105" w:leftChars="50" w:right="42" w:rightChars="20"/>
        <w:jc w:val="center"/>
        <w:rPr>
          <w:rFonts w:ascii="宋体" w:hAnsi="宋体" w:cs="宋体"/>
          <w:b/>
          <w:sz w:val="44"/>
          <w:szCs w:val="44"/>
        </w:rPr>
      </w:pPr>
      <w:bookmarkStart w:id="0" w:name="_Hlk12619514"/>
      <w:r>
        <w:rPr>
          <w:rFonts w:hint="eastAsia" w:ascii="宋体" w:hAnsi="宋体" w:cs="宋体"/>
          <w:b/>
          <w:sz w:val="44"/>
          <w:szCs w:val="44"/>
        </w:rPr>
        <w:t>江西南昌</w:t>
      </w:r>
      <w:bookmarkEnd w:id="0"/>
      <w:r>
        <w:rPr>
          <w:rFonts w:hint="eastAsia" w:ascii="宋体" w:hAnsi="宋体" w:cs="宋体"/>
          <w:b/>
          <w:sz w:val="44"/>
          <w:szCs w:val="44"/>
          <w:lang w:val="en-US" w:eastAsia="zh-CN"/>
        </w:rPr>
        <w:t>双港大道</w:t>
      </w:r>
      <w:r>
        <w:rPr>
          <w:rFonts w:hint="eastAsia" w:ascii="宋体" w:hAnsi="宋体" w:cs="宋体"/>
          <w:b/>
          <w:sz w:val="44"/>
          <w:szCs w:val="44"/>
        </w:rPr>
        <w:t>加油站</w:t>
      </w:r>
    </w:p>
    <w:p>
      <w:pPr>
        <w:autoSpaceDE w:val="0"/>
        <w:autoSpaceDN w:val="0"/>
        <w:adjustRightInd w:val="0"/>
        <w:spacing w:line="600" w:lineRule="auto"/>
        <w:ind w:left="105" w:leftChars="50" w:right="42" w:rightChars="20"/>
        <w:jc w:val="center"/>
        <w:rPr>
          <w:rFonts w:ascii="宋体" w:hAnsi="宋体" w:cs="宋体"/>
          <w:b/>
          <w:sz w:val="44"/>
          <w:szCs w:val="44"/>
        </w:rPr>
      </w:pPr>
      <w:r>
        <w:rPr>
          <w:rFonts w:hint="eastAsia" w:ascii="宋体" w:hAnsi="宋体" w:cs="宋体"/>
          <w:b/>
          <w:sz w:val="44"/>
          <w:szCs w:val="44"/>
        </w:rPr>
        <w:t>突发环境事件风险评估报告</w:t>
      </w:r>
    </w:p>
    <w:p>
      <w:pPr>
        <w:autoSpaceDE w:val="0"/>
        <w:autoSpaceDN w:val="0"/>
        <w:adjustRightInd w:val="0"/>
        <w:ind w:left="105" w:leftChars="50" w:right="42" w:rightChars="20" w:firstLine="1044"/>
        <w:jc w:val="center"/>
        <w:rPr>
          <w:b/>
          <w:sz w:val="52"/>
          <w:szCs w:val="52"/>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right="42" w:rightChars="20"/>
        <w:rPr>
          <w:szCs w:val="28"/>
        </w:rPr>
      </w:pPr>
    </w:p>
    <w:p>
      <w:pPr>
        <w:pStyle w:val="2"/>
        <w:ind w:firstLine="480"/>
        <w:rPr>
          <w:rFonts w:hint="default"/>
        </w:rPr>
      </w:pPr>
    </w:p>
    <w:p/>
    <w:p>
      <w:pPr>
        <w:pStyle w:val="2"/>
        <w:ind w:firstLine="480"/>
        <w:rPr>
          <w:rFonts w:hint="default"/>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jc w:val="center"/>
        <w:rPr>
          <w:b/>
          <w:sz w:val="32"/>
          <w:szCs w:val="32"/>
        </w:rPr>
      </w:pPr>
      <w:r>
        <w:rPr>
          <w:rFonts w:hAnsi="宋体"/>
          <w:b/>
          <w:sz w:val="32"/>
          <w:szCs w:val="32"/>
        </w:rPr>
        <w:t>中国</w:t>
      </w:r>
      <w:r>
        <w:rPr>
          <w:rFonts w:hint="eastAsia" w:hAnsi="宋体"/>
          <w:b/>
          <w:sz w:val="32"/>
          <w:szCs w:val="32"/>
          <w:lang w:val="en-US" w:eastAsia="zh-CN"/>
        </w:rPr>
        <w:t>石油天然气</w:t>
      </w:r>
      <w:r>
        <w:rPr>
          <w:rFonts w:hint="eastAsia" w:hAnsi="宋体"/>
          <w:b/>
          <w:sz w:val="32"/>
          <w:szCs w:val="32"/>
        </w:rPr>
        <w:t>股份</w:t>
      </w:r>
      <w:r>
        <w:rPr>
          <w:rFonts w:hAnsi="宋体"/>
          <w:b/>
          <w:sz w:val="32"/>
          <w:szCs w:val="32"/>
        </w:rPr>
        <w:t>有限公司</w:t>
      </w:r>
    </w:p>
    <w:p>
      <w:pPr>
        <w:jc w:val="center"/>
        <w:rPr>
          <w:szCs w:val="28"/>
        </w:rPr>
      </w:pPr>
      <w:r>
        <w:rPr>
          <w:rFonts w:hint="eastAsia" w:hAnsi="宋体"/>
          <w:b/>
          <w:sz w:val="32"/>
          <w:szCs w:val="32"/>
        </w:rPr>
        <w:t>江西南昌</w:t>
      </w:r>
      <w:r>
        <w:rPr>
          <w:rFonts w:hint="eastAsia" w:hAnsi="宋体"/>
          <w:b/>
          <w:sz w:val="32"/>
          <w:szCs w:val="32"/>
          <w:lang w:val="en-US" w:eastAsia="zh-CN"/>
        </w:rPr>
        <w:t>双港大道加油站</w:t>
      </w:r>
    </w:p>
    <w:p>
      <w:pPr>
        <w:ind w:right="42" w:rightChars="20" w:firstLine="640"/>
        <w:jc w:val="center"/>
        <w:rPr>
          <w:b/>
          <w:sz w:val="32"/>
          <w:szCs w:val="32"/>
        </w:rPr>
      </w:pPr>
    </w:p>
    <w:p>
      <w:pPr>
        <w:pStyle w:val="2"/>
        <w:ind w:firstLine="482"/>
        <w:rPr>
          <w:rFonts w:hint="default"/>
          <w:b/>
        </w:rPr>
      </w:pPr>
    </w:p>
    <w:p>
      <w:pPr>
        <w:ind w:right="42" w:rightChars="20" w:firstLine="640"/>
        <w:jc w:val="center"/>
        <w:rPr>
          <w:sz w:val="24"/>
        </w:rPr>
      </w:pPr>
      <w:r>
        <w:rPr>
          <w:b/>
          <w:sz w:val="32"/>
          <w:szCs w:val="32"/>
        </w:rPr>
        <w:t>编制日期：201</w:t>
      </w:r>
      <w:r>
        <w:rPr>
          <w:rFonts w:hint="eastAsia"/>
          <w:b/>
          <w:sz w:val="32"/>
          <w:szCs w:val="32"/>
        </w:rPr>
        <w:t>9</w:t>
      </w:r>
      <w:r>
        <w:rPr>
          <w:b/>
          <w:sz w:val="32"/>
          <w:szCs w:val="32"/>
        </w:rPr>
        <w:t>年</w:t>
      </w:r>
      <w:r>
        <w:rPr>
          <w:rFonts w:hint="eastAsia"/>
          <w:b/>
          <w:sz w:val="32"/>
          <w:szCs w:val="32"/>
          <w:lang w:val="en-US" w:eastAsia="zh-CN"/>
        </w:rPr>
        <w:t>10</w:t>
      </w:r>
      <w:r>
        <w:rPr>
          <w:b/>
          <w:sz w:val="32"/>
          <w:szCs w:val="32"/>
        </w:rPr>
        <w:t>月</w:t>
      </w:r>
    </w:p>
    <w:p>
      <w:pPr>
        <w:pStyle w:val="11"/>
        <w:tabs>
          <w:tab w:val="left" w:pos="8364"/>
        </w:tabs>
        <w:snapToGrid w:val="0"/>
        <w:spacing w:line="360" w:lineRule="auto"/>
        <w:ind w:left="718" w:leftChars="342" w:firstLine="1325" w:firstLineChars="550"/>
        <w:jc w:val="left"/>
        <w:rPr>
          <w:b/>
          <w:bCs/>
          <w:sz w:val="24"/>
        </w:rPr>
      </w:pPr>
      <w:r>
        <w:rPr>
          <w:b/>
          <w:bCs/>
          <w:sz w:val="24"/>
        </w:rPr>
        <w:br w:type="page"/>
      </w:r>
    </w:p>
    <w:p>
      <w:pPr>
        <w:pStyle w:val="10"/>
        <w:tabs>
          <w:tab w:val="right" w:leader="hyphen" w:pos="8306"/>
        </w:tabs>
        <w:spacing w:line="360" w:lineRule="auto"/>
        <w:jc w:val="center"/>
        <w:rPr>
          <w:b/>
          <w:bCs/>
          <w:sz w:val="24"/>
        </w:rPr>
      </w:pPr>
      <w:r>
        <w:rPr>
          <w:b/>
          <w:bCs/>
          <w:sz w:val="24"/>
        </w:rPr>
        <w:t>目录</w:t>
      </w:r>
    </w:p>
    <w:p>
      <w:pPr>
        <w:pStyle w:val="10"/>
        <w:tabs>
          <w:tab w:val="right" w:leader="dot" w:pos="8306"/>
        </w:tabs>
        <w:rPr>
          <w:rFonts w:ascii="Times New Roman" w:hAnsi="Times New Roman"/>
          <w:sz w:val="24"/>
        </w:rPr>
      </w:pPr>
      <w:r>
        <w:rPr>
          <w:rFonts w:hint="eastAsia" w:ascii="Times New Roman" w:hAnsi="Times New Roman"/>
          <w:sz w:val="24"/>
          <w:szCs w:val="21"/>
        </w:rPr>
        <w:fldChar w:fldCharType="begin"/>
      </w:r>
      <w:r>
        <w:rPr>
          <w:rFonts w:hint="eastAsia" w:ascii="Times New Roman" w:hAnsi="Times New Roman"/>
          <w:sz w:val="24"/>
          <w:szCs w:val="21"/>
        </w:rPr>
        <w:instrText xml:space="preserve"> HYPERLINK \l _Toc29603 </w:instrText>
      </w:r>
      <w:r>
        <w:rPr>
          <w:rFonts w:hint="eastAsia" w:ascii="Times New Roman" w:hAnsi="Times New Roman"/>
          <w:sz w:val="24"/>
          <w:szCs w:val="21"/>
        </w:rPr>
        <w:fldChar w:fldCharType="separate"/>
      </w:r>
      <w:r>
        <w:rPr>
          <w:rFonts w:ascii="Times New Roman" w:hAnsi="Times New Roman"/>
          <w:bCs/>
          <w:sz w:val="24"/>
          <w:szCs w:val="30"/>
        </w:rPr>
        <w:t>1、前言</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_Toc29603 </w:instrText>
      </w:r>
      <w:r>
        <w:rPr>
          <w:rFonts w:ascii="Times New Roman" w:hAnsi="Times New Roman"/>
          <w:sz w:val="24"/>
        </w:rPr>
        <w:fldChar w:fldCharType="separate"/>
      </w:r>
      <w:r>
        <w:rPr>
          <w:rFonts w:ascii="Times New Roman" w:hAnsi="Times New Roman"/>
          <w:sz w:val="24"/>
        </w:rPr>
        <w:t>1</w:t>
      </w:r>
      <w:r>
        <w:rPr>
          <w:rFonts w:ascii="Times New Roman" w:hAnsi="Times New Roman"/>
          <w:sz w:val="24"/>
        </w:rPr>
        <w:fldChar w:fldCharType="end"/>
      </w:r>
      <w:r>
        <w:rPr>
          <w:rFonts w:hint="eastAsia" w:ascii="Times New Roman" w:hAnsi="Times New Roman"/>
          <w:sz w:val="24"/>
          <w:szCs w:val="21"/>
        </w:rPr>
        <w:fldChar w:fldCharType="end"/>
      </w:r>
    </w:p>
    <w:p>
      <w:pPr>
        <w:pStyle w:val="10"/>
        <w:tabs>
          <w:tab w:val="right" w:leader="dot" w:pos="8306"/>
        </w:tabs>
        <w:rPr>
          <w:rFonts w:ascii="Times New Roman" w:hAnsi="Times New Roman"/>
          <w:sz w:val="24"/>
        </w:rPr>
      </w:pPr>
      <w:r>
        <w:rPr>
          <w:rFonts w:hint="eastAsia" w:ascii="Times New Roman" w:hAnsi="Times New Roman" w:eastAsia="宋体"/>
          <w:sz w:val="24"/>
          <w:szCs w:val="21"/>
        </w:rPr>
        <w:fldChar w:fldCharType="begin"/>
      </w:r>
      <w:r>
        <w:rPr>
          <w:rFonts w:ascii="Times New Roman" w:hAnsi="Times New Roman" w:eastAsia="宋体"/>
          <w:sz w:val="24"/>
          <w:szCs w:val="21"/>
        </w:rPr>
        <w:instrText xml:space="preserve">TOC \o "1-3" \h \u </w:instrText>
      </w:r>
      <w:r>
        <w:rPr>
          <w:rFonts w:hint="eastAsia" w:ascii="Times New Roman" w:hAnsi="Times New Roman" w:eastAsia="宋体"/>
          <w:sz w:val="24"/>
          <w:szCs w:val="21"/>
        </w:rPr>
        <w:fldChar w:fldCharType="separate"/>
      </w:r>
      <w:r>
        <w:rPr>
          <w:rFonts w:hint="eastAsia" w:ascii="Times New Roman" w:hAnsi="Times New Roman" w:eastAsia="宋体"/>
          <w:sz w:val="24"/>
          <w:szCs w:val="21"/>
        </w:rPr>
        <w:fldChar w:fldCharType="begin"/>
      </w:r>
      <w:r>
        <w:rPr>
          <w:rFonts w:hint="eastAsia" w:ascii="Times New Roman" w:hAnsi="Times New Roman" w:eastAsia="宋体"/>
          <w:sz w:val="24"/>
          <w:szCs w:val="21"/>
        </w:rPr>
        <w:instrText xml:space="preserve"> HYPERLINK \l _Toc2828 </w:instrText>
      </w:r>
      <w:r>
        <w:rPr>
          <w:rFonts w:hint="eastAsia" w:ascii="Times New Roman" w:hAnsi="Times New Roman" w:eastAsia="宋体"/>
          <w:sz w:val="24"/>
          <w:szCs w:val="21"/>
        </w:rPr>
        <w:fldChar w:fldCharType="separate"/>
      </w:r>
      <w:r>
        <w:rPr>
          <w:rFonts w:ascii="Times New Roman" w:hAnsi="Times New Roman" w:cs="Times New Roman"/>
          <w:bCs/>
          <w:sz w:val="24"/>
          <w:szCs w:val="30"/>
        </w:rPr>
        <w:t>2、评价依据</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_Toc2828 </w:instrText>
      </w:r>
      <w:r>
        <w:rPr>
          <w:rFonts w:ascii="Times New Roman" w:hAnsi="Times New Roman"/>
          <w:sz w:val="24"/>
        </w:rPr>
        <w:fldChar w:fldCharType="separate"/>
      </w:r>
      <w:r>
        <w:rPr>
          <w:rFonts w:ascii="Times New Roman" w:hAnsi="Times New Roman"/>
          <w:sz w:val="24"/>
        </w:rPr>
        <w:t>6</w:t>
      </w:r>
      <w:r>
        <w:rPr>
          <w:rFonts w:ascii="Times New Roman" w:hAnsi="Times New Roman"/>
          <w:sz w:val="24"/>
        </w:rPr>
        <w:fldChar w:fldCharType="end"/>
      </w:r>
      <w:r>
        <w:rPr>
          <w:rFonts w:hint="eastAsia"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_Toc26590 </w:instrText>
      </w:r>
      <w:r>
        <w:rPr>
          <w:rFonts w:ascii="Times New Roman" w:hAnsi="Times New Roman" w:eastAsia="宋体"/>
          <w:sz w:val="24"/>
          <w:szCs w:val="21"/>
        </w:rPr>
        <w:fldChar w:fldCharType="separate"/>
      </w:r>
      <w:r>
        <w:rPr>
          <w:rFonts w:ascii="Times New Roman" w:hAnsi="Times New Roman"/>
          <w:bCs/>
          <w:sz w:val="24"/>
        </w:rPr>
        <w:t>2.1 编制原则</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_Toc26590 </w:instrText>
      </w:r>
      <w:r>
        <w:rPr>
          <w:rFonts w:ascii="Times New Roman" w:hAnsi="Times New Roman"/>
          <w:sz w:val="24"/>
        </w:rPr>
        <w:fldChar w:fldCharType="separate"/>
      </w:r>
      <w:r>
        <w:rPr>
          <w:rFonts w:ascii="Times New Roman" w:hAnsi="Times New Roman"/>
          <w:sz w:val="24"/>
        </w:rPr>
        <w:t>6</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_Toc31543 </w:instrText>
      </w:r>
      <w:r>
        <w:rPr>
          <w:rFonts w:ascii="Times New Roman" w:hAnsi="Times New Roman" w:eastAsia="宋体"/>
          <w:sz w:val="24"/>
          <w:szCs w:val="21"/>
        </w:rPr>
        <w:fldChar w:fldCharType="separate"/>
      </w:r>
      <w:r>
        <w:rPr>
          <w:rFonts w:ascii="Times New Roman" w:hAnsi="Times New Roman"/>
          <w:bCs/>
          <w:sz w:val="24"/>
        </w:rPr>
        <w:t>2.2 编制依据</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_Toc31543 </w:instrText>
      </w:r>
      <w:r>
        <w:rPr>
          <w:rFonts w:ascii="Times New Roman" w:hAnsi="Times New Roman"/>
          <w:sz w:val="24"/>
        </w:rPr>
        <w:fldChar w:fldCharType="separate"/>
      </w:r>
      <w:r>
        <w:rPr>
          <w:rFonts w:ascii="Times New Roman" w:hAnsi="Times New Roman"/>
          <w:sz w:val="24"/>
        </w:rPr>
        <w:t>6</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_Toc12974 </w:instrText>
      </w:r>
      <w:r>
        <w:rPr>
          <w:rFonts w:ascii="Times New Roman" w:hAnsi="Times New Roman" w:eastAsia="宋体"/>
          <w:sz w:val="24"/>
          <w:szCs w:val="21"/>
        </w:rPr>
        <w:fldChar w:fldCharType="separate"/>
      </w:r>
      <w:r>
        <w:rPr>
          <w:rFonts w:ascii="Times New Roman" w:hAnsi="Times New Roman"/>
          <w:bCs/>
          <w:sz w:val="24"/>
        </w:rPr>
        <w:t>2.2.1 法律、法规</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_Toc12974 </w:instrText>
      </w:r>
      <w:r>
        <w:rPr>
          <w:rFonts w:ascii="Times New Roman" w:hAnsi="Times New Roman"/>
          <w:sz w:val="24"/>
        </w:rPr>
        <w:fldChar w:fldCharType="separate"/>
      </w:r>
      <w:r>
        <w:rPr>
          <w:rFonts w:ascii="Times New Roman" w:hAnsi="Times New Roman"/>
          <w:sz w:val="24"/>
        </w:rPr>
        <w:t>6</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_Toc10994 </w:instrText>
      </w:r>
      <w:r>
        <w:rPr>
          <w:rFonts w:ascii="Times New Roman" w:hAnsi="Times New Roman" w:eastAsia="宋体"/>
          <w:sz w:val="24"/>
          <w:szCs w:val="21"/>
        </w:rPr>
        <w:fldChar w:fldCharType="separate"/>
      </w:r>
      <w:r>
        <w:rPr>
          <w:rFonts w:ascii="Times New Roman" w:hAnsi="Times New Roman"/>
          <w:bCs/>
          <w:sz w:val="24"/>
        </w:rPr>
        <w:t>2.2.2 导则、标准、技术规范</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_Toc10994 </w:instrText>
      </w:r>
      <w:r>
        <w:rPr>
          <w:rFonts w:ascii="Times New Roman" w:hAnsi="Times New Roman"/>
          <w:sz w:val="24"/>
        </w:rPr>
        <w:fldChar w:fldCharType="separate"/>
      </w:r>
      <w:r>
        <w:rPr>
          <w:rFonts w:ascii="Times New Roman" w:hAnsi="Times New Roman"/>
          <w:sz w:val="24"/>
        </w:rPr>
        <w:t>7</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_Toc19618 </w:instrText>
      </w:r>
      <w:r>
        <w:rPr>
          <w:rFonts w:ascii="Times New Roman" w:hAnsi="Times New Roman" w:eastAsia="宋体"/>
          <w:sz w:val="24"/>
          <w:szCs w:val="21"/>
        </w:rPr>
        <w:fldChar w:fldCharType="separate"/>
      </w:r>
      <w:r>
        <w:rPr>
          <w:rFonts w:ascii="Times New Roman" w:hAnsi="Times New Roman"/>
          <w:bCs/>
          <w:sz w:val="24"/>
        </w:rPr>
        <w:t>2.2.3相关资料</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_Toc19618 </w:instrText>
      </w:r>
      <w:r>
        <w:rPr>
          <w:rFonts w:ascii="Times New Roman" w:hAnsi="Times New Roman"/>
          <w:sz w:val="24"/>
        </w:rPr>
        <w:fldChar w:fldCharType="separate"/>
      </w:r>
      <w:r>
        <w:rPr>
          <w:rFonts w:ascii="Times New Roman" w:hAnsi="Times New Roman"/>
          <w:sz w:val="24"/>
        </w:rPr>
        <w:t>7</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_Toc21711 </w:instrText>
      </w:r>
      <w:r>
        <w:rPr>
          <w:rFonts w:ascii="Times New Roman" w:hAnsi="Times New Roman" w:eastAsia="宋体"/>
          <w:sz w:val="24"/>
          <w:szCs w:val="21"/>
        </w:rPr>
        <w:fldChar w:fldCharType="separate"/>
      </w:r>
      <w:r>
        <w:rPr>
          <w:rFonts w:ascii="Times New Roman" w:hAnsi="Times New Roman"/>
          <w:bCs/>
          <w:sz w:val="24"/>
        </w:rPr>
        <w:t>2.3 企业突发环境事件风险评估程序</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_Toc21711 </w:instrText>
      </w:r>
      <w:r>
        <w:rPr>
          <w:rFonts w:ascii="Times New Roman" w:hAnsi="Times New Roman"/>
          <w:sz w:val="24"/>
        </w:rPr>
        <w:fldChar w:fldCharType="separate"/>
      </w:r>
      <w:r>
        <w:rPr>
          <w:rFonts w:ascii="Times New Roman" w:hAnsi="Times New Roman"/>
          <w:sz w:val="24"/>
        </w:rPr>
        <w:t>8</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_Toc3711 </w:instrText>
      </w:r>
      <w:r>
        <w:rPr>
          <w:rFonts w:ascii="Times New Roman" w:hAnsi="Times New Roman" w:eastAsia="宋体"/>
          <w:sz w:val="24"/>
          <w:szCs w:val="21"/>
        </w:rPr>
        <w:fldChar w:fldCharType="separate"/>
      </w:r>
      <w:r>
        <w:rPr>
          <w:rFonts w:ascii="Times New Roman" w:hAnsi="Times New Roman"/>
          <w:bCs/>
          <w:sz w:val="24"/>
          <w:szCs w:val="30"/>
        </w:rPr>
        <w:t>3、准备资料与环境风险识别</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_Toc3711 </w:instrText>
      </w:r>
      <w:r>
        <w:rPr>
          <w:rFonts w:ascii="Times New Roman" w:hAnsi="Times New Roman"/>
          <w:sz w:val="24"/>
        </w:rPr>
        <w:fldChar w:fldCharType="separate"/>
      </w:r>
      <w:r>
        <w:rPr>
          <w:rFonts w:ascii="Times New Roman" w:hAnsi="Times New Roman"/>
          <w:sz w:val="24"/>
        </w:rPr>
        <w:t>9</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_Toc23800 </w:instrText>
      </w:r>
      <w:r>
        <w:rPr>
          <w:rFonts w:ascii="Times New Roman" w:hAnsi="Times New Roman" w:eastAsia="宋体"/>
          <w:sz w:val="24"/>
          <w:szCs w:val="21"/>
        </w:rPr>
        <w:fldChar w:fldCharType="separate"/>
      </w:r>
      <w:r>
        <w:rPr>
          <w:rFonts w:ascii="Times New Roman" w:hAnsi="Times New Roman"/>
          <w:bCs/>
          <w:sz w:val="24"/>
        </w:rPr>
        <w:t>3.1 企业信息</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_Toc23800 </w:instrText>
      </w:r>
      <w:r>
        <w:rPr>
          <w:rFonts w:ascii="Times New Roman" w:hAnsi="Times New Roman"/>
          <w:sz w:val="24"/>
        </w:rPr>
        <w:fldChar w:fldCharType="separate"/>
      </w:r>
      <w:r>
        <w:rPr>
          <w:rFonts w:ascii="Times New Roman" w:hAnsi="Times New Roman"/>
          <w:sz w:val="24"/>
        </w:rPr>
        <w:t>9</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_Toc26714 </w:instrText>
      </w:r>
      <w:r>
        <w:rPr>
          <w:rFonts w:ascii="Times New Roman" w:hAnsi="Times New Roman" w:eastAsia="宋体"/>
          <w:sz w:val="24"/>
          <w:szCs w:val="21"/>
        </w:rPr>
        <w:fldChar w:fldCharType="separate"/>
      </w:r>
      <w:r>
        <w:rPr>
          <w:rFonts w:ascii="Times New Roman" w:hAnsi="Times New Roman"/>
          <w:bCs/>
          <w:sz w:val="24"/>
        </w:rPr>
        <w:t>3.2 加油站周边环境风险受体情况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_Toc26714 </w:instrText>
      </w:r>
      <w:r>
        <w:rPr>
          <w:rFonts w:ascii="Times New Roman" w:hAnsi="Times New Roman"/>
          <w:sz w:val="24"/>
        </w:rPr>
        <w:fldChar w:fldCharType="separate"/>
      </w:r>
      <w:r>
        <w:rPr>
          <w:rFonts w:ascii="Times New Roman" w:hAnsi="Times New Roman"/>
          <w:sz w:val="24"/>
        </w:rPr>
        <w:t>10</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_Toc25981 </w:instrText>
      </w:r>
      <w:r>
        <w:rPr>
          <w:rFonts w:ascii="Times New Roman" w:hAnsi="Times New Roman" w:eastAsia="宋体"/>
          <w:sz w:val="24"/>
          <w:szCs w:val="21"/>
        </w:rPr>
        <w:fldChar w:fldCharType="separate"/>
      </w:r>
      <w:r>
        <w:rPr>
          <w:rFonts w:ascii="Times New Roman" w:hAnsi="Times New Roman"/>
          <w:bCs/>
          <w:sz w:val="24"/>
        </w:rPr>
        <w:t>3.3 涉及环境风险物质情况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_Toc25981 </w:instrText>
      </w:r>
      <w:r>
        <w:rPr>
          <w:rFonts w:ascii="Times New Roman" w:hAnsi="Times New Roman"/>
          <w:sz w:val="24"/>
        </w:rPr>
        <w:fldChar w:fldCharType="separate"/>
      </w:r>
      <w:r>
        <w:rPr>
          <w:rFonts w:ascii="Times New Roman" w:hAnsi="Times New Roman"/>
          <w:sz w:val="24"/>
        </w:rPr>
        <w:t>12</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_Toc17707 </w:instrText>
      </w:r>
      <w:r>
        <w:rPr>
          <w:rFonts w:ascii="Times New Roman" w:hAnsi="Times New Roman" w:eastAsia="宋体"/>
          <w:sz w:val="24"/>
          <w:szCs w:val="21"/>
        </w:rPr>
        <w:fldChar w:fldCharType="separate"/>
      </w:r>
      <w:r>
        <w:rPr>
          <w:rFonts w:ascii="Times New Roman" w:hAnsi="Times New Roman"/>
          <w:bCs/>
          <w:sz w:val="24"/>
        </w:rPr>
        <w:t>3.4 加油站运营流程及水平衡</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_Toc17707 </w:instrText>
      </w:r>
      <w:r>
        <w:rPr>
          <w:rFonts w:ascii="Times New Roman" w:hAnsi="Times New Roman"/>
          <w:sz w:val="24"/>
        </w:rPr>
        <w:fldChar w:fldCharType="separate"/>
      </w:r>
      <w:r>
        <w:rPr>
          <w:rFonts w:ascii="Times New Roman" w:hAnsi="Times New Roman"/>
          <w:sz w:val="24"/>
        </w:rPr>
        <w:t>13</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_Toc16910 </w:instrText>
      </w:r>
      <w:r>
        <w:rPr>
          <w:rFonts w:ascii="Times New Roman" w:hAnsi="Times New Roman" w:eastAsia="宋体"/>
          <w:sz w:val="24"/>
          <w:szCs w:val="21"/>
        </w:rPr>
        <w:fldChar w:fldCharType="separate"/>
      </w:r>
      <w:r>
        <w:rPr>
          <w:rFonts w:ascii="Times New Roman" w:hAnsi="Times New Roman"/>
          <w:bCs/>
          <w:sz w:val="24"/>
        </w:rPr>
        <w:t>3.5 安全生产管理</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_Toc16910 </w:instrText>
      </w:r>
      <w:r>
        <w:rPr>
          <w:rFonts w:ascii="Times New Roman" w:hAnsi="Times New Roman"/>
          <w:sz w:val="24"/>
        </w:rPr>
        <w:fldChar w:fldCharType="separate"/>
      </w:r>
      <w:r>
        <w:rPr>
          <w:rFonts w:ascii="Times New Roman" w:hAnsi="Times New Roman"/>
          <w:sz w:val="24"/>
        </w:rPr>
        <w:t>15</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_Toc21521 </w:instrText>
      </w:r>
      <w:r>
        <w:rPr>
          <w:rFonts w:ascii="Times New Roman" w:hAnsi="Times New Roman" w:eastAsia="宋体"/>
          <w:sz w:val="24"/>
          <w:szCs w:val="21"/>
        </w:rPr>
        <w:fldChar w:fldCharType="separate"/>
      </w:r>
      <w:r>
        <w:rPr>
          <w:rFonts w:ascii="Times New Roman" w:hAnsi="Times New Roman"/>
          <w:bCs/>
          <w:sz w:val="24"/>
        </w:rPr>
        <w:t>3.6 现有环境风险防控与应急措施情况</w:t>
      </w:r>
      <w:r>
        <w:rPr>
          <w:rFonts w:hint="eastAsia" w:ascii="Times New Roman" w:hAnsi="Times New Roman"/>
          <w:bCs/>
          <w:sz w:val="24"/>
        </w:rPr>
        <w:t>及建议</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_Toc21521 </w:instrText>
      </w:r>
      <w:r>
        <w:rPr>
          <w:rFonts w:ascii="Times New Roman" w:hAnsi="Times New Roman"/>
          <w:sz w:val="24"/>
        </w:rPr>
        <w:fldChar w:fldCharType="separate"/>
      </w:r>
      <w:r>
        <w:rPr>
          <w:rFonts w:ascii="Times New Roman" w:hAnsi="Times New Roman"/>
          <w:sz w:val="24"/>
        </w:rPr>
        <w:t>15</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_Toc11958 </w:instrText>
      </w:r>
      <w:r>
        <w:rPr>
          <w:rFonts w:ascii="Times New Roman" w:hAnsi="Times New Roman" w:eastAsia="宋体"/>
          <w:sz w:val="24"/>
          <w:szCs w:val="21"/>
        </w:rPr>
        <w:fldChar w:fldCharType="separate"/>
      </w:r>
      <w:r>
        <w:rPr>
          <w:rFonts w:ascii="Times New Roman" w:hAnsi="Times New Roman"/>
          <w:bCs/>
          <w:sz w:val="24"/>
        </w:rPr>
        <w:t>3.7 现有应急物资与装备、救援队伍情况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_Toc11958 </w:instrText>
      </w:r>
      <w:r>
        <w:rPr>
          <w:rFonts w:ascii="Times New Roman" w:hAnsi="Times New Roman"/>
          <w:sz w:val="24"/>
        </w:rPr>
        <w:fldChar w:fldCharType="separate"/>
      </w:r>
      <w:r>
        <w:rPr>
          <w:rFonts w:ascii="Times New Roman" w:hAnsi="Times New Roman"/>
          <w:sz w:val="24"/>
        </w:rPr>
        <w:t>18</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_Toc11434 </w:instrText>
      </w:r>
      <w:r>
        <w:rPr>
          <w:rFonts w:ascii="Times New Roman" w:hAnsi="Times New Roman" w:eastAsia="宋体"/>
          <w:sz w:val="24"/>
          <w:szCs w:val="21"/>
        </w:rPr>
        <w:fldChar w:fldCharType="separate"/>
      </w:r>
      <w:r>
        <w:rPr>
          <w:rFonts w:ascii="Times New Roman" w:hAnsi="Times New Roman"/>
          <w:bCs/>
          <w:sz w:val="24"/>
          <w:szCs w:val="30"/>
        </w:rPr>
        <w:t>4、突发环境事件及其后果分析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_Toc11434 </w:instrText>
      </w:r>
      <w:r>
        <w:rPr>
          <w:rFonts w:ascii="Times New Roman" w:hAnsi="Times New Roman"/>
          <w:sz w:val="24"/>
        </w:rPr>
        <w:fldChar w:fldCharType="separate"/>
      </w:r>
      <w:r>
        <w:rPr>
          <w:rFonts w:ascii="Times New Roman" w:hAnsi="Times New Roman"/>
          <w:sz w:val="24"/>
        </w:rPr>
        <w:t>23</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_Toc2390 </w:instrText>
      </w:r>
      <w:r>
        <w:rPr>
          <w:rFonts w:ascii="Times New Roman" w:hAnsi="Times New Roman" w:eastAsia="宋体"/>
          <w:sz w:val="24"/>
          <w:szCs w:val="21"/>
        </w:rPr>
        <w:fldChar w:fldCharType="separate"/>
      </w:r>
      <w:r>
        <w:rPr>
          <w:rFonts w:ascii="Times New Roman" w:hAnsi="Times New Roman"/>
          <w:bCs/>
          <w:sz w:val="24"/>
        </w:rPr>
        <w:t>4.1 突发环境事件情景分析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_Toc2390 </w:instrText>
      </w:r>
      <w:r>
        <w:rPr>
          <w:rFonts w:ascii="Times New Roman" w:hAnsi="Times New Roman"/>
          <w:sz w:val="24"/>
        </w:rPr>
        <w:fldChar w:fldCharType="separate"/>
      </w:r>
      <w:r>
        <w:rPr>
          <w:rFonts w:ascii="Times New Roman" w:hAnsi="Times New Roman"/>
          <w:sz w:val="24"/>
        </w:rPr>
        <w:t>23</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_Toc12071 </w:instrText>
      </w:r>
      <w:r>
        <w:rPr>
          <w:rFonts w:ascii="Times New Roman" w:hAnsi="Times New Roman" w:eastAsia="宋体"/>
          <w:sz w:val="24"/>
          <w:szCs w:val="21"/>
        </w:rPr>
        <w:fldChar w:fldCharType="separate"/>
      </w:r>
      <w:r>
        <w:rPr>
          <w:rFonts w:ascii="Times New Roman" w:hAnsi="Times New Roman"/>
          <w:bCs/>
          <w:sz w:val="24"/>
        </w:rPr>
        <w:t>4.2突发环境事件情景源强分析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_Toc12071 </w:instrText>
      </w:r>
      <w:r>
        <w:rPr>
          <w:rFonts w:ascii="Times New Roman" w:hAnsi="Times New Roman"/>
          <w:sz w:val="24"/>
        </w:rPr>
        <w:fldChar w:fldCharType="separate"/>
      </w:r>
      <w:r>
        <w:rPr>
          <w:rFonts w:ascii="Times New Roman" w:hAnsi="Times New Roman"/>
          <w:sz w:val="24"/>
        </w:rPr>
        <w:t>27</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_Toc3045 </w:instrText>
      </w:r>
      <w:r>
        <w:rPr>
          <w:rFonts w:ascii="Times New Roman" w:hAnsi="Times New Roman" w:eastAsia="宋体"/>
          <w:sz w:val="24"/>
          <w:szCs w:val="21"/>
        </w:rPr>
        <w:fldChar w:fldCharType="separate"/>
      </w:r>
      <w:r>
        <w:rPr>
          <w:rFonts w:ascii="Times New Roman" w:hAnsi="Times New Roman"/>
          <w:bCs/>
          <w:sz w:val="24"/>
        </w:rPr>
        <w:t>4.2.1泄露事故及环境风险概率</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_Toc3045 </w:instrText>
      </w:r>
      <w:r>
        <w:rPr>
          <w:rFonts w:ascii="Times New Roman" w:hAnsi="Times New Roman"/>
          <w:sz w:val="24"/>
        </w:rPr>
        <w:fldChar w:fldCharType="separate"/>
      </w:r>
      <w:r>
        <w:rPr>
          <w:rFonts w:ascii="Times New Roman" w:hAnsi="Times New Roman"/>
          <w:sz w:val="24"/>
        </w:rPr>
        <w:t>27</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_Toc17927 </w:instrText>
      </w:r>
      <w:r>
        <w:rPr>
          <w:rFonts w:ascii="Times New Roman" w:hAnsi="Times New Roman" w:eastAsia="宋体"/>
          <w:sz w:val="24"/>
          <w:szCs w:val="21"/>
        </w:rPr>
        <w:fldChar w:fldCharType="separate"/>
      </w:r>
      <w:r>
        <w:rPr>
          <w:rFonts w:ascii="Times New Roman" w:hAnsi="Times New Roman"/>
          <w:bCs/>
          <w:sz w:val="24"/>
        </w:rPr>
        <w:t>4.2.2其他突发事件情景分析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_Toc17927 </w:instrText>
      </w:r>
      <w:r>
        <w:rPr>
          <w:rFonts w:ascii="Times New Roman" w:hAnsi="Times New Roman"/>
          <w:sz w:val="24"/>
        </w:rPr>
        <w:fldChar w:fldCharType="separate"/>
      </w:r>
      <w:r>
        <w:rPr>
          <w:rFonts w:ascii="Times New Roman" w:hAnsi="Times New Roman"/>
          <w:sz w:val="24"/>
        </w:rPr>
        <w:t>30</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_Toc13763 </w:instrText>
      </w:r>
      <w:r>
        <w:rPr>
          <w:rFonts w:ascii="Times New Roman" w:hAnsi="Times New Roman" w:eastAsia="宋体"/>
          <w:sz w:val="24"/>
          <w:szCs w:val="21"/>
        </w:rPr>
        <w:fldChar w:fldCharType="separate"/>
      </w:r>
      <w:r>
        <w:rPr>
          <w:rFonts w:ascii="Times New Roman" w:hAnsi="Times New Roman"/>
          <w:bCs/>
          <w:sz w:val="24"/>
        </w:rPr>
        <w:t>4.2.3停电、断水等</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_Toc13763 </w:instrText>
      </w:r>
      <w:r>
        <w:rPr>
          <w:rFonts w:ascii="Times New Roman" w:hAnsi="Times New Roman"/>
          <w:sz w:val="24"/>
        </w:rPr>
        <w:fldChar w:fldCharType="separate"/>
      </w:r>
      <w:r>
        <w:rPr>
          <w:rFonts w:ascii="Times New Roman" w:hAnsi="Times New Roman"/>
          <w:sz w:val="24"/>
        </w:rPr>
        <w:t>30</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_Toc7834 </w:instrText>
      </w:r>
      <w:r>
        <w:rPr>
          <w:rFonts w:ascii="Times New Roman" w:hAnsi="Times New Roman" w:eastAsia="宋体"/>
          <w:sz w:val="24"/>
          <w:szCs w:val="21"/>
        </w:rPr>
        <w:fldChar w:fldCharType="separate"/>
      </w:r>
      <w:r>
        <w:rPr>
          <w:rFonts w:ascii="Times New Roman" w:hAnsi="Times New Roman"/>
          <w:bCs/>
          <w:sz w:val="24"/>
        </w:rPr>
        <w:t>4.2.4各种自然灾害、极端天气</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_Toc7834 </w:instrText>
      </w:r>
      <w:r>
        <w:rPr>
          <w:rFonts w:ascii="Times New Roman" w:hAnsi="Times New Roman"/>
          <w:sz w:val="24"/>
        </w:rPr>
        <w:fldChar w:fldCharType="separate"/>
      </w:r>
      <w:r>
        <w:rPr>
          <w:rFonts w:ascii="Times New Roman" w:hAnsi="Times New Roman"/>
          <w:sz w:val="24"/>
        </w:rPr>
        <w:t>30</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_Toc17573 </w:instrText>
      </w:r>
      <w:r>
        <w:rPr>
          <w:rFonts w:ascii="Times New Roman" w:hAnsi="Times New Roman" w:eastAsia="宋体"/>
          <w:sz w:val="24"/>
          <w:szCs w:val="21"/>
        </w:rPr>
        <w:fldChar w:fldCharType="separate"/>
      </w:r>
      <w:r>
        <w:rPr>
          <w:rFonts w:ascii="Times New Roman" w:hAnsi="Times New Roman" w:cs="Times New Roman"/>
          <w:bCs/>
          <w:sz w:val="24"/>
        </w:rPr>
        <w:t>4.2.</w:t>
      </w:r>
      <w:r>
        <w:rPr>
          <w:rFonts w:hint="eastAsia" w:ascii="Times New Roman" w:hAnsi="Times New Roman" w:cs="Times New Roman"/>
          <w:bCs/>
          <w:sz w:val="24"/>
          <w:lang w:val="en-US" w:eastAsia="zh-CN"/>
        </w:rPr>
        <w:t>5</w:t>
      </w:r>
      <w:r>
        <w:rPr>
          <w:rFonts w:hint="eastAsia" w:ascii="Times New Roman" w:hAnsi="Times New Roman" w:cs="Times New Roman"/>
          <w:bCs/>
          <w:sz w:val="24"/>
        </w:rPr>
        <w:t>爆炸事故</w:t>
      </w:r>
      <w:r>
        <w:rPr>
          <w:rFonts w:hint="default" w:ascii="Times New Roman" w:hAnsi="Times New Roman" w:cs="Times New Roman"/>
          <w:bCs/>
          <w:sz w:val="24"/>
        </w:rPr>
        <w:t>对周围环境的影响分析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_Toc17573 </w:instrText>
      </w:r>
      <w:r>
        <w:rPr>
          <w:rFonts w:ascii="Times New Roman" w:hAnsi="Times New Roman"/>
          <w:sz w:val="24"/>
        </w:rPr>
        <w:fldChar w:fldCharType="separate"/>
      </w:r>
      <w:r>
        <w:rPr>
          <w:rFonts w:ascii="Times New Roman" w:hAnsi="Times New Roman"/>
          <w:sz w:val="24"/>
        </w:rPr>
        <w:t>31</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_Toc22209 </w:instrText>
      </w:r>
      <w:r>
        <w:rPr>
          <w:rFonts w:ascii="Times New Roman" w:hAnsi="Times New Roman" w:eastAsia="宋体"/>
          <w:sz w:val="24"/>
          <w:szCs w:val="21"/>
        </w:rPr>
        <w:fldChar w:fldCharType="separate"/>
      </w:r>
      <w:r>
        <w:rPr>
          <w:rFonts w:ascii="Times New Roman" w:hAnsi="Times New Roman"/>
          <w:bCs/>
          <w:sz w:val="24"/>
        </w:rPr>
        <w:t>4.3突发环境事件危害后果分析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_Toc22209 </w:instrText>
      </w:r>
      <w:r>
        <w:rPr>
          <w:rFonts w:ascii="Times New Roman" w:hAnsi="Times New Roman"/>
          <w:sz w:val="24"/>
        </w:rPr>
        <w:fldChar w:fldCharType="separate"/>
      </w:r>
      <w:r>
        <w:rPr>
          <w:rFonts w:ascii="Times New Roman" w:hAnsi="Times New Roman"/>
          <w:sz w:val="24"/>
        </w:rPr>
        <w:t>32</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_Toc25061 </w:instrText>
      </w:r>
      <w:r>
        <w:rPr>
          <w:rFonts w:ascii="Times New Roman" w:hAnsi="Times New Roman" w:eastAsia="宋体"/>
          <w:sz w:val="24"/>
          <w:szCs w:val="21"/>
        </w:rPr>
        <w:fldChar w:fldCharType="separate"/>
      </w:r>
      <w:r>
        <w:rPr>
          <w:rFonts w:ascii="Times New Roman" w:hAnsi="Times New Roman"/>
          <w:bCs/>
          <w:sz w:val="24"/>
          <w:szCs w:val="30"/>
        </w:rPr>
        <w:t>5、现有环境风险防控和应急措施差距分析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_Toc25061 </w:instrText>
      </w:r>
      <w:r>
        <w:rPr>
          <w:rFonts w:ascii="Times New Roman" w:hAnsi="Times New Roman"/>
          <w:sz w:val="24"/>
        </w:rPr>
        <w:fldChar w:fldCharType="separate"/>
      </w:r>
      <w:r>
        <w:rPr>
          <w:rFonts w:ascii="Times New Roman" w:hAnsi="Times New Roman"/>
          <w:sz w:val="24"/>
        </w:rPr>
        <w:t>33</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_Toc20867 </w:instrText>
      </w:r>
      <w:r>
        <w:rPr>
          <w:rFonts w:ascii="Times New Roman" w:hAnsi="Times New Roman" w:eastAsia="宋体"/>
          <w:sz w:val="24"/>
          <w:szCs w:val="21"/>
        </w:rPr>
        <w:fldChar w:fldCharType="separate"/>
      </w:r>
      <w:r>
        <w:rPr>
          <w:rFonts w:ascii="Times New Roman" w:hAnsi="Times New Roman"/>
          <w:bCs/>
          <w:sz w:val="24"/>
        </w:rPr>
        <w:t>5.1 环境风险管理制度</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_Toc20867 </w:instrText>
      </w:r>
      <w:r>
        <w:rPr>
          <w:rFonts w:ascii="Times New Roman" w:hAnsi="Times New Roman"/>
          <w:sz w:val="24"/>
        </w:rPr>
        <w:fldChar w:fldCharType="separate"/>
      </w:r>
      <w:r>
        <w:rPr>
          <w:rFonts w:ascii="Times New Roman" w:hAnsi="Times New Roman"/>
          <w:sz w:val="24"/>
        </w:rPr>
        <w:t>33</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_Toc3892 </w:instrText>
      </w:r>
      <w:r>
        <w:rPr>
          <w:rFonts w:ascii="Times New Roman" w:hAnsi="Times New Roman" w:eastAsia="宋体"/>
          <w:sz w:val="24"/>
          <w:szCs w:val="21"/>
        </w:rPr>
        <w:fldChar w:fldCharType="separate"/>
      </w:r>
      <w:r>
        <w:rPr>
          <w:rFonts w:ascii="Times New Roman" w:hAnsi="Times New Roman"/>
          <w:bCs/>
          <w:sz w:val="24"/>
        </w:rPr>
        <w:t>5.2环境风险防控与应急措施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_Toc3892 </w:instrText>
      </w:r>
      <w:r>
        <w:rPr>
          <w:rFonts w:ascii="Times New Roman" w:hAnsi="Times New Roman"/>
          <w:sz w:val="24"/>
        </w:rPr>
        <w:fldChar w:fldCharType="separate"/>
      </w:r>
      <w:r>
        <w:rPr>
          <w:rFonts w:ascii="Times New Roman" w:hAnsi="Times New Roman"/>
          <w:sz w:val="24"/>
        </w:rPr>
        <w:t>33</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_Toc12656 </w:instrText>
      </w:r>
      <w:r>
        <w:rPr>
          <w:rFonts w:ascii="Times New Roman" w:hAnsi="Times New Roman" w:eastAsia="宋体"/>
          <w:sz w:val="24"/>
          <w:szCs w:val="21"/>
        </w:rPr>
        <w:fldChar w:fldCharType="separate"/>
      </w:r>
      <w:r>
        <w:rPr>
          <w:rFonts w:ascii="Times New Roman" w:hAnsi="Times New Roman"/>
          <w:bCs/>
          <w:sz w:val="24"/>
        </w:rPr>
        <w:t>5.2.1总图布置和建筑安全防范措施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_Toc12656 </w:instrText>
      </w:r>
      <w:r>
        <w:rPr>
          <w:rFonts w:ascii="Times New Roman" w:hAnsi="Times New Roman"/>
          <w:sz w:val="24"/>
        </w:rPr>
        <w:fldChar w:fldCharType="separate"/>
      </w:r>
      <w:r>
        <w:rPr>
          <w:rFonts w:ascii="Times New Roman" w:hAnsi="Times New Roman"/>
          <w:sz w:val="24"/>
        </w:rPr>
        <w:t>33</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_Toc30211 </w:instrText>
      </w:r>
      <w:r>
        <w:rPr>
          <w:rFonts w:ascii="Times New Roman" w:hAnsi="Times New Roman" w:eastAsia="宋体"/>
          <w:sz w:val="24"/>
          <w:szCs w:val="21"/>
        </w:rPr>
        <w:fldChar w:fldCharType="separate"/>
      </w:r>
      <w:r>
        <w:rPr>
          <w:rFonts w:ascii="Times New Roman" w:hAnsi="Times New Roman"/>
          <w:bCs/>
          <w:sz w:val="24"/>
        </w:rPr>
        <w:t>5.2.2安全防范措施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_Toc30211 </w:instrText>
      </w:r>
      <w:r>
        <w:rPr>
          <w:rFonts w:ascii="Times New Roman" w:hAnsi="Times New Roman"/>
          <w:sz w:val="24"/>
        </w:rPr>
        <w:fldChar w:fldCharType="separate"/>
      </w:r>
      <w:r>
        <w:rPr>
          <w:rFonts w:ascii="Times New Roman" w:hAnsi="Times New Roman"/>
          <w:sz w:val="24"/>
        </w:rPr>
        <w:t>34</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_Toc12004 </w:instrText>
      </w:r>
      <w:r>
        <w:rPr>
          <w:rFonts w:ascii="Times New Roman" w:hAnsi="Times New Roman" w:eastAsia="宋体"/>
          <w:sz w:val="24"/>
          <w:szCs w:val="21"/>
        </w:rPr>
        <w:fldChar w:fldCharType="separate"/>
      </w:r>
      <w:r>
        <w:rPr>
          <w:rFonts w:ascii="Times New Roman" w:hAnsi="Times New Roman"/>
          <w:bCs/>
          <w:sz w:val="24"/>
        </w:rPr>
        <w:t>5.2.3泄漏、火灾应急措施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_Toc12004 </w:instrText>
      </w:r>
      <w:r>
        <w:rPr>
          <w:rFonts w:ascii="Times New Roman" w:hAnsi="Times New Roman"/>
          <w:sz w:val="24"/>
        </w:rPr>
        <w:fldChar w:fldCharType="separate"/>
      </w:r>
      <w:r>
        <w:rPr>
          <w:rFonts w:ascii="Times New Roman" w:hAnsi="Times New Roman"/>
          <w:sz w:val="24"/>
        </w:rPr>
        <w:t>35</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_Toc5924 </w:instrText>
      </w:r>
      <w:r>
        <w:rPr>
          <w:rFonts w:ascii="Times New Roman" w:hAnsi="Times New Roman" w:eastAsia="宋体"/>
          <w:sz w:val="24"/>
          <w:szCs w:val="21"/>
        </w:rPr>
        <w:fldChar w:fldCharType="separate"/>
      </w:r>
      <w:r>
        <w:rPr>
          <w:rFonts w:ascii="Times New Roman" w:hAnsi="Times New Roman"/>
          <w:bCs/>
          <w:sz w:val="24"/>
        </w:rPr>
        <w:t>5.2.4电气、电讯安全防范措施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_Toc5924 </w:instrText>
      </w:r>
      <w:r>
        <w:rPr>
          <w:rFonts w:ascii="Times New Roman" w:hAnsi="Times New Roman"/>
          <w:sz w:val="24"/>
        </w:rPr>
        <w:fldChar w:fldCharType="separate"/>
      </w:r>
      <w:r>
        <w:rPr>
          <w:rFonts w:ascii="Times New Roman" w:hAnsi="Times New Roman"/>
          <w:sz w:val="24"/>
        </w:rPr>
        <w:t>36</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_Toc29099 </w:instrText>
      </w:r>
      <w:r>
        <w:rPr>
          <w:rFonts w:ascii="Times New Roman" w:hAnsi="Times New Roman" w:eastAsia="宋体"/>
          <w:sz w:val="24"/>
          <w:szCs w:val="21"/>
        </w:rPr>
        <w:fldChar w:fldCharType="separate"/>
      </w:r>
      <w:r>
        <w:rPr>
          <w:rFonts w:ascii="Times New Roman" w:hAnsi="Times New Roman"/>
          <w:bCs/>
          <w:sz w:val="24"/>
        </w:rPr>
        <w:t>5.2.5消防及火灾报警系统</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_Toc29099 </w:instrText>
      </w:r>
      <w:r>
        <w:rPr>
          <w:rFonts w:ascii="Times New Roman" w:hAnsi="Times New Roman"/>
          <w:sz w:val="24"/>
        </w:rPr>
        <w:fldChar w:fldCharType="separate"/>
      </w:r>
      <w:r>
        <w:rPr>
          <w:rFonts w:ascii="Times New Roman" w:hAnsi="Times New Roman"/>
          <w:sz w:val="24"/>
        </w:rPr>
        <w:t>36</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_Toc1131 </w:instrText>
      </w:r>
      <w:r>
        <w:rPr>
          <w:rFonts w:ascii="Times New Roman" w:hAnsi="Times New Roman" w:eastAsia="宋体"/>
          <w:sz w:val="24"/>
          <w:szCs w:val="21"/>
        </w:rPr>
        <w:fldChar w:fldCharType="separate"/>
      </w:r>
      <w:r>
        <w:rPr>
          <w:rFonts w:ascii="Times New Roman" w:hAnsi="Times New Roman"/>
          <w:bCs/>
          <w:sz w:val="24"/>
        </w:rPr>
        <w:t>5.2.6运输的环境风险防范措施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_Toc1131 </w:instrText>
      </w:r>
      <w:r>
        <w:rPr>
          <w:rFonts w:ascii="Times New Roman" w:hAnsi="Times New Roman"/>
          <w:sz w:val="24"/>
        </w:rPr>
        <w:fldChar w:fldCharType="separate"/>
      </w:r>
      <w:r>
        <w:rPr>
          <w:rFonts w:ascii="Times New Roman" w:hAnsi="Times New Roman"/>
          <w:sz w:val="24"/>
        </w:rPr>
        <w:t>36</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_Toc4256 </w:instrText>
      </w:r>
      <w:r>
        <w:rPr>
          <w:rFonts w:ascii="Times New Roman" w:hAnsi="Times New Roman" w:eastAsia="宋体"/>
          <w:sz w:val="24"/>
          <w:szCs w:val="21"/>
        </w:rPr>
        <w:fldChar w:fldCharType="separate"/>
      </w:r>
      <w:r>
        <w:rPr>
          <w:rFonts w:ascii="Times New Roman" w:hAnsi="Times New Roman"/>
          <w:bCs/>
          <w:sz w:val="24"/>
        </w:rPr>
        <w:t>5.2.7其他环境风险防范措施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_Toc4256 </w:instrText>
      </w:r>
      <w:r>
        <w:rPr>
          <w:rFonts w:ascii="Times New Roman" w:hAnsi="Times New Roman"/>
          <w:sz w:val="24"/>
        </w:rPr>
        <w:fldChar w:fldCharType="separate"/>
      </w:r>
      <w:r>
        <w:rPr>
          <w:rFonts w:ascii="Times New Roman" w:hAnsi="Times New Roman"/>
          <w:sz w:val="24"/>
        </w:rPr>
        <w:t>36</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_Toc23636 </w:instrText>
      </w:r>
      <w:r>
        <w:rPr>
          <w:rFonts w:ascii="Times New Roman" w:hAnsi="Times New Roman" w:eastAsia="宋体"/>
          <w:sz w:val="24"/>
          <w:szCs w:val="21"/>
        </w:rPr>
        <w:fldChar w:fldCharType="separate"/>
      </w:r>
      <w:r>
        <w:rPr>
          <w:rFonts w:ascii="Times New Roman" w:hAnsi="Times New Roman"/>
          <w:bCs/>
          <w:sz w:val="24"/>
        </w:rPr>
        <w:t>5.2.8环境应急资源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_Toc23636 </w:instrText>
      </w:r>
      <w:r>
        <w:rPr>
          <w:rFonts w:ascii="Times New Roman" w:hAnsi="Times New Roman"/>
          <w:sz w:val="24"/>
        </w:rPr>
        <w:fldChar w:fldCharType="separate"/>
      </w:r>
      <w:r>
        <w:rPr>
          <w:rFonts w:ascii="Times New Roman" w:hAnsi="Times New Roman"/>
          <w:sz w:val="24"/>
        </w:rPr>
        <w:t>37</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_Toc12074 </w:instrText>
      </w:r>
      <w:r>
        <w:rPr>
          <w:rFonts w:ascii="Times New Roman" w:hAnsi="Times New Roman" w:eastAsia="宋体"/>
          <w:sz w:val="24"/>
          <w:szCs w:val="21"/>
        </w:rPr>
        <w:fldChar w:fldCharType="separate"/>
      </w:r>
      <w:r>
        <w:rPr>
          <w:rFonts w:ascii="Times New Roman" w:hAnsi="Times New Roman"/>
          <w:bCs/>
          <w:sz w:val="24"/>
        </w:rPr>
        <w:t>5.3历史经验教训总结</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_Toc12074 </w:instrText>
      </w:r>
      <w:r>
        <w:rPr>
          <w:rFonts w:ascii="Times New Roman" w:hAnsi="Times New Roman"/>
          <w:sz w:val="24"/>
        </w:rPr>
        <w:fldChar w:fldCharType="separate"/>
      </w:r>
      <w:r>
        <w:rPr>
          <w:rFonts w:ascii="Times New Roman" w:hAnsi="Times New Roman"/>
          <w:sz w:val="24"/>
        </w:rPr>
        <w:t>37</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_Toc16390 </w:instrText>
      </w:r>
      <w:r>
        <w:rPr>
          <w:rFonts w:ascii="Times New Roman" w:hAnsi="Times New Roman" w:eastAsia="宋体"/>
          <w:sz w:val="24"/>
          <w:szCs w:val="21"/>
        </w:rPr>
        <w:fldChar w:fldCharType="separate"/>
      </w:r>
      <w:r>
        <w:rPr>
          <w:rFonts w:ascii="Times New Roman" w:hAnsi="Times New Roman"/>
          <w:bCs/>
          <w:sz w:val="24"/>
        </w:rPr>
        <w:t>5.4需要整改的短期、中期和长期项目内容</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_Toc16390 </w:instrText>
      </w:r>
      <w:r>
        <w:rPr>
          <w:rFonts w:ascii="Times New Roman" w:hAnsi="Times New Roman"/>
          <w:sz w:val="24"/>
        </w:rPr>
        <w:fldChar w:fldCharType="separate"/>
      </w:r>
      <w:r>
        <w:rPr>
          <w:rFonts w:ascii="Times New Roman" w:hAnsi="Times New Roman"/>
          <w:sz w:val="24"/>
        </w:rPr>
        <w:t>37</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_Toc12235 </w:instrText>
      </w:r>
      <w:r>
        <w:rPr>
          <w:rFonts w:ascii="Times New Roman" w:hAnsi="Times New Roman" w:eastAsia="宋体"/>
          <w:sz w:val="24"/>
          <w:szCs w:val="21"/>
        </w:rPr>
        <w:fldChar w:fldCharType="separate"/>
      </w:r>
      <w:r>
        <w:rPr>
          <w:rFonts w:ascii="Times New Roman" w:hAnsi="Times New Roman"/>
          <w:bCs/>
          <w:sz w:val="24"/>
          <w:szCs w:val="30"/>
        </w:rPr>
        <w:t>6、完善环境风险防控和应急措施的实施计划</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_Toc12235 </w:instrText>
      </w:r>
      <w:r>
        <w:rPr>
          <w:rFonts w:ascii="Times New Roman" w:hAnsi="Times New Roman"/>
          <w:sz w:val="24"/>
        </w:rPr>
        <w:fldChar w:fldCharType="separate"/>
      </w:r>
      <w:r>
        <w:rPr>
          <w:rFonts w:ascii="Times New Roman" w:hAnsi="Times New Roman"/>
          <w:sz w:val="24"/>
        </w:rPr>
        <w:t>39</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_Toc32287 </w:instrText>
      </w:r>
      <w:r>
        <w:rPr>
          <w:rFonts w:ascii="Times New Roman" w:hAnsi="Times New Roman" w:eastAsia="宋体"/>
          <w:sz w:val="24"/>
          <w:szCs w:val="21"/>
        </w:rPr>
        <w:fldChar w:fldCharType="separate"/>
      </w:r>
      <w:r>
        <w:rPr>
          <w:rFonts w:ascii="Times New Roman" w:hAnsi="Times New Roman"/>
          <w:bCs/>
          <w:sz w:val="24"/>
          <w:szCs w:val="30"/>
        </w:rPr>
        <w:t>7、加油站突发环境事件风险等级</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_Toc32287 </w:instrText>
      </w:r>
      <w:r>
        <w:rPr>
          <w:rFonts w:ascii="Times New Roman" w:hAnsi="Times New Roman"/>
          <w:sz w:val="24"/>
        </w:rPr>
        <w:fldChar w:fldCharType="separate"/>
      </w:r>
      <w:r>
        <w:rPr>
          <w:rFonts w:ascii="Times New Roman" w:hAnsi="Times New Roman"/>
          <w:sz w:val="24"/>
        </w:rPr>
        <w:t>40</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_Toc27688 </w:instrText>
      </w:r>
      <w:r>
        <w:rPr>
          <w:rFonts w:ascii="Times New Roman" w:hAnsi="Times New Roman" w:eastAsia="宋体"/>
          <w:sz w:val="24"/>
          <w:szCs w:val="21"/>
        </w:rPr>
        <w:fldChar w:fldCharType="separate"/>
      </w:r>
      <w:r>
        <w:rPr>
          <w:rFonts w:ascii="Times New Roman" w:hAnsi="Times New Roman"/>
          <w:bCs/>
          <w:sz w:val="24"/>
        </w:rPr>
        <w:t>7.1.1计算涉气风险物质数量与临界量比值（Q）</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_Toc27688 </w:instrText>
      </w:r>
      <w:r>
        <w:rPr>
          <w:rFonts w:ascii="Times New Roman" w:hAnsi="Times New Roman"/>
          <w:sz w:val="24"/>
        </w:rPr>
        <w:fldChar w:fldCharType="separate"/>
      </w:r>
      <w:r>
        <w:rPr>
          <w:rFonts w:ascii="Times New Roman" w:hAnsi="Times New Roman"/>
          <w:sz w:val="24"/>
        </w:rPr>
        <w:t>40</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_Toc16687 </w:instrText>
      </w:r>
      <w:r>
        <w:rPr>
          <w:rFonts w:ascii="Times New Roman" w:hAnsi="Times New Roman" w:eastAsia="宋体"/>
          <w:sz w:val="24"/>
          <w:szCs w:val="21"/>
        </w:rPr>
        <w:fldChar w:fldCharType="separate"/>
      </w:r>
      <w:r>
        <w:rPr>
          <w:rFonts w:ascii="Times New Roman" w:hAnsi="Times New Roman"/>
          <w:bCs/>
          <w:sz w:val="24"/>
        </w:rPr>
        <w:t>7.1.2生产工艺过程与大气环境风险控制水平（M）评估</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_Toc16687 </w:instrText>
      </w:r>
      <w:r>
        <w:rPr>
          <w:rFonts w:ascii="Times New Roman" w:hAnsi="Times New Roman"/>
          <w:sz w:val="24"/>
        </w:rPr>
        <w:fldChar w:fldCharType="separate"/>
      </w:r>
      <w:r>
        <w:rPr>
          <w:rFonts w:ascii="Times New Roman" w:hAnsi="Times New Roman"/>
          <w:sz w:val="24"/>
        </w:rPr>
        <w:t>41</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_Toc9764 </w:instrText>
      </w:r>
      <w:r>
        <w:rPr>
          <w:rFonts w:ascii="Times New Roman" w:hAnsi="Times New Roman" w:eastAsia="宋体"/>
          <w:sz w:val="24"/>
          <w:szCs w:val="21"/>
        </w:rPr>
        <w:fldChar w:fldCharType="separate"/>
      </w:r>
      <w:r>
        <w:rPr>
          <w:rFonts w:ascii="Times New Roman" w:hAnsi="Times New Roman"/>
          <w:bCs/>
          <w:sz w:val="24"/>
        </w:rPr>
        <w:t>7.1.2.1生产工艺过程含有风险工艺和设备情况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_Toc9764 </w:instrText>
      </w:r>
      <w:r>
        <w:rPr>
          <w:rFonts w:ascii="Times New Roman" w:hAnsi="Times New Roman"/>
          <w:sz w:val="24"/>
        </w:rPr>
        <w:fldChar w:fldCharType="separate"/>
      </w:r>
      <w:r>
        <w:rPr>
          <w:rFonts w:ascii="Times New Roman" w:hAnsi="Times New Roman"/>
          <w:sz w:val="24"/>
        </w:rPr>
        <w:t>41</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_Toc18131 </w:instrText>
      </w:r>
      <w:r>
        <w:rPr>
          <w:rFonts w:ascii="Times New Roman" w:hAnsi="Times New Roman" w:eastAsia="宋体"/>
          <w:sz w:val="24"/>
          <w:szCs w:val="21"/>
        </w:rPr>
        <w:fldChar w:fldCharType="separate"/>
      </w:r>
      <w:r>
        <w:rPr>
          <w:rFonts w:ascii="Times New Roman" w:hAnsi="Times New Roman"/>
          <w:bCs/>
          <w:sz w:val="24"/>
        </w:rPr>
        <w:t>7.1.2.2大气环境风险防控措施及突发大气环境事件发生情况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_Toc18131 </w:instrText>
      </w:r>
      <w:r>
        <w:rPr>
          <w:rFonts w:ascii="Times New Roman" w:hAnsi="Times New Roman"/>
          <w:sz w:val="24"/>
        </w:rPr>
        <w:fldChar w:fldCharType="separate"/>
      </w:r>
      <w:r>
        <w:rPr>
          <w:rFonts w:ascii="Times New Roman" w:hAnsi="Times New Roman"/>
          <w:sz w:val="24"/>
        </w:rPr>
        <w:t>42</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_Toc17163 </w:instrText>
      </w:r>
      <w:r>
        <w:rPr>
          <w:rFonts w:ascii="Times New Roman" w:hAnsi="Times New Roman" w:eastAsia="宋体"/>
          <w:sz w:val="24"/>
          <w:szCs w:val="21"/>
        </w:rPr>
        <w:fldChar w:fldCharType="separate"/>
      </w:r>
      <w:r>
        <w:rPr>
          <w:rFonts w:ascii="Times New Roman" w:hAnsi="Times New Roman"/>
          <w:bCs/>
          <w:sz w:val="24"/>
        </w:rPr>
        <w:t>7.1.2.3企业生产工艺过程与大气环境风险控制水平</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_Toc17163 </w:instrText>
      </w:r>
      <w:r>
        <w:rPr>
          <w:rFonts w:ascii="Times New Roman" w:hAnsi="Times New Roman"/>
          <w:sz w:val="24"/>
        </w:rPr>
        <w:fldChar w:fldCharType="separate"/>
      </w:r>
      <w:r>
        <w:rPr>
          <w:rFonts w:ascii="Times New Roman" w:hAnsi="Times New Roman"/>
          <w:sz w:val="24"/>
        </w:rPr>
        <w:t>42</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_Toc3269 </w:instrText>
      </w:r>
      <w:r>
        <w:rPr>
          <w:rFonts w:ascii="Times New Roman" w:hAnsi="Times New Roman" w:eastAsia="宋体"/>
          <w:sz w:val="24"/>
          <w:szCs w:val="21"/>
        </w:rPr>
        <w:fldChar w:fldCharType="separate"/>
      </w:r>
      <w:r>
        <w:rPr>
          <w:rFonts w:ascii="Times New Roman" w:hAnsi="Times New Roman"/>
          <w:bCs/>
          <w:sz w:val="24"/>
        </w:rPr>
        <w:t>7.1.3大气环境风险受体敏感程度（E）评估</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_Toc3269 </w:instrText>
      </w:r>
      <w:r>
        <w:rPr>
          <w:rFonts w:ascii="Times New Roman" w:hAnsi="Times New Roman"/>
          <w:sz w:val="24"/>
        </w:rPr>
        <w:fldChar w:fldCharType="separate"/>
      </w:r>
      <w:r>
        <w:rPr>
          <w:rFonts w:ascii="Times New Roman" w:hAnsi="Times New Roman"/>
          <w:sz w:val="24"/>
        </w:rPr>
        <w:t>42</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_Toc10464 </w:instrText>
      </w:r>
      <w:r>
        <w:rPr>
          <w:rFonts w:ascii="Times New Roman" w:hAnsi="Times New Roman" w:eastAsia="宋体"/>
          <w:sz w:val="24"/>
          <w:szCs w:val="21"/>
        </w:rPr>
        <w:fldChar w:fldCharType="separate"/>
      </w:r>
      <w:r>
        <w:rPr>
          <w:rFonts w:ascii="Times New Roman" w:hAnsi="Times New Roman"/>
          <w:bCs/>
          <w:sz w:val="24"/>
        </w:rPr>
        <w:t>7.1.4突发大气环境事件风险等级确定</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_Toc10464 </w:instrText>
      </w:r>
      <w:r>
        <w:rPr>
          <w:rFonts w:ascii="Times New Roman" w:hAnsi="Times New Roman"/>
          <w:sz w:val="24"/>
        </w:rPr>
        <w:fldChar w:fldCharType="separate"/>
      </w:r>
      <w:r>
        <w:rPr>
          <w:rFonts w:ascii="Times New Roman" w:hAnsi="Times New Roman"/>
          <w:sz w:val="24"/>
        </w:rPr>
        <w:t>43</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_Toc2917 </w:instrText>
      </w:r>
      <w:r>
        <w:rPr>
          <w:rFonts w:ascii="Times New Roman" w:hAnsi="Times New Roman" w:eastAsia="宋体"/>
          <w:sz w:val="24"/>
          <w:szCs w:val="21"/>
        </w:rPr>
        <w:fldChar w:fldCharType="separate"/>
      </w:r>
      <w:r>
        <w:rPr>
          <w:rFonts w:ascii="Times New Roman" w:hAnsi="Times New Roman"/>
          <w:bCs/>
          <w:sz w:val="24"/>
        </w:rPr>
        <w:t>7.1.5突发大气环境事件等级表征</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_Toc2917 </w:instrText>
      </w:r>
      <w:r>
        <w:rPr>
          <w:rFonts w:ascii="Times New Roman" w:hAnsi="Times New Roman"/>
          <w:sz w:val="24"/>
        </w:rPr>
        <w:fldChar w:fldCharType="separate"/>
      </w:r>
      <w:r>
        <w:rPr>
          <w:rFonts w:ascii="Times New Roman" w:hAnsi="Times New Roman"/>
          <w:sz w:val="24"/>
        </w:rPr>
        <w:t>44</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_Toc5959 </w:instrText>
      </w:r>
      <w:r>
        <w:rPr>
          <w:rFonts w:ascii="Times New Roman" w:hAnsi="Times New Roman" w:eastAsia="宋体"/>
          <w:sz w:val="24"/>
          <w:szCs w:val="21"/>
        </w:rPr>
        <w:fldChar w:fldCharType="separate"/>
      </w:r>
      <w:r>
        <w:rPr>
          <w:rFonts w:ascii="Times New Roman" w:hAnsi="Times New Roman"/>
          <w:bCs/>
          <w:sz w:val="24"/>
        </w:rPr>
        <w:t>7.2突发水环境事件风险分级</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_Toc5959 </w:instrText>
      </w:r>
      <w:r>
        <w:rPr>
          <w:rFonts w:ascii="Times New Roman" w:hAnsi="Times New Roman"/>
          <w:sz w:val="24"/>
        </w:rPr>
        <w:fldChar w:fldCharType="separate"/>
      </w:r>
      <w:r>
        <w:rPr>
          <w:rFonts w:ascii="Times New Roman" w:hAnsi="Times New Roman"/>
          <w:sz w:val="24"/>
        </w:rPr>
        <w:t>44</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_Toc4479 </w:instrText>
      </w:r>
      <w:r>
        <w:rPr>
          <w:rFonts w:ascii="Times New Roman" w:hAnsi="Times New Roman" w:eastAsia="宋体"/>
          <w:sz w:val="24"/>
          <w:szCs w:val="21"/>
        </w:rPr>
        <w:fldChar w:fldCharType="separate"/>
      </w:r>
      <w:r>
        <w:rPr>
          <w:rFonts w:ascii="Times New Roman" w:hAnsi="Times New Roman"/>
          <w:bCs/>
          <w:sz w:val="24"/>
        </w:rPr>
        <w:t>7.2.1计算涉水风险物质数量与临界量比值（Q）</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_Toc4479 </w:instrText>
      </w:r>
      <w:r>
        <w:rPr>
          <w:rFonts w:ascii="Times New Roman" w:hAnsi="Times New Roman"/>
          <w:sz w:val="24"/>
        </w:rPr>
        <w:fldChar w:fldCharType="separate"/>
      </w:r>
      <w:r>
        <w:rPr>
          <w:rFonts w:ascii="Times New Roman" w:hAnsi="Times New Roman"/>
          <w:sz w:val="24"/>
        </w:rPr>
        <w:t>44</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_Toc24746 </w:instrText>
      </w:r>
      <w:r>
        <w:rPr>
          <w:rFonts w:ascii="Times New Roman" w:hAnsi="Times New Roman" w:eastAsia="宋体"/>
          <w:sz w:val="24"/>
          <w:szCs w:val="21"/>
        </w:rPr>
        <w:fldChar w:fldCharType="separate"/>
      </w:r>
      <w:r>
        <w:rPr>
          <w:rFonts w:ascii="Times New Roman" w:hAnsi="Times New Roman"/>
          <w:bCs/>
          <w:sz w:val="24"/>
        </w:rPr>
        <w:t>7.2.2生产工艺过程与水环境风险控制水平（M）评估</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_Toc24746 </w:instrText>
      </w:r>
      <w:r>
        <w:rPr>
          <w:rFonts w:ascii="Times New Roman" w:hAnsi="Times New Roman"/>
          <w:sz w:val="24"/>
        </w:rPr>
        <w:fldChar w:fldCharType="separate"/>
      </w:r>
      <w:r>
        <w:rPr>
          <w:rFonts w:ascii="Times New Roman" w:hAnsi="Times New Roman"/>
          <w:sz w:val="24"/>
        </w:rPr>
        <w:t>45</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_Toc13155 </w:instrText>
      </w:r>
      <w:r>
        <w:rPr>
          <w:rFonts w:ascii="Times New Roman" w:hAnsi="Times New Roman" w:eastAsia="宋体"/>
          <w:sz w:val="24"/>
          <w:szCs w:val="21"/>
        </w:rPr>
        <w:fldChar w:fldCharType="separate"/>
      </w:r>
      <w:r>
        <w:rPr>
          <w:rFonts w:ascii="Times New Roman" w:hAnsi="Times New Roman"/>
          <w:bCs/>
          <w:sz w:val="24"/>
        </w:rPr>
        <w:t>7.2.2.1生产工艺过程含有风险工艺和设备情况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_Toc13155 </w:instrText>
      </w:r>
      <w:r>
        <w:rPr>
          <w:rFonts w:ascii="Times New Roman" w:hAnsi="Times New Roman"/>
          <w:sz w:val="24"/>
        </w:rPr>
        <w:fldChar w:fldCharType="separate"/>
      </w:r>
      <w:r>
        <w:rPr>
          <w:rFonts w:ascii="Times New Roman" w:hAnsi="Times New Roman"/>
          <w:sz w:val="24"/>
        </w:rPr>
        <w:t>45</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_Toc19840 </w:instrText>
      </w:r>
      <w:r>
        <w:rPr>
          <w:rFonts w:ascii="Times New Roman" w:hAnsi="Times New Roman" w:eastAsia="宋体"/>
          <w:sz w:val="24"/>
          <w:szCs w:val="21"/>
        </w:rPr>
        <w:fldChar w:fldCharType="separate"/>
      </w:r>
      <w:r>
        <w:rPr>
          <w:rFonts w:ascii="Times New Roman" w:hAnsi="Times New Roman"/>
          <w:bCs/>
          <w:sz w:val="24"/>
        </w:rPr>
        <w:t>7.2.2.2水环境风险防控措施及突发水环境事件发生情况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_Toc19840 </w:instrText>
      </w:r>
      <w:r>
        <w:rPr>
          <w:rFonts w:ascii="Times New Roman" w:hAnsi="Times New Roman"/>
          <w:sz w:val="24"/>
        </w:rPr>
        <w:fldChar w:fldCharType="separate"/>
      </w:r>
      <w:r>
        <w:rPr>
          <w:rFonts w:ascii="Times New Roman" w:hAnsi="Times New Roman"/>
          <w:sz w:val="24"/>
        </w:rPr>
        <w:t>46</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_Toc3968 </w:instrText>
      </w:r>
      <w:r>
        <w:rPr>
          <w:rFonts w:ascii="Times New Roman" w:hAnsi="Times New Roman" w:eastAsia="宋体"/>
          <w:sz w:val="24"/>
          <w:szCs w:val="21"/>
        </w:rPr>
        <w:fldChar w:fldCharType="separate"/>
      </w:r>
      <w:r>
        <w:rPr>
          <w:rFonts w:ascii="Times New Roman" w:hAnsi="Times New Roman"/>
          <w:bCs/>
          <w:sz w:val="24"/>
        </w:rPr>
        <w:t>7.2.2.3企业生产工艺过程与水环境风险控制水平</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_Toc3968 </w:instrText>
      </w:r>
      <w:r>
        <w:rPr>
          <w:rFonts w:ascii="Times New Roman" w:hAnsi="Times New Roman"/>
          <w:sz w:val="24"/>
        </w:rPr>
        <w:fldChar w:fldCharType="separate"/>
      </w:r>
      <w:r>
        <w:rPr>
          <w:rFonts w:ascii="Times New Roman" w:hAnsi="Times New Roman"/>
          <w:sz w:val="24"/>
        </w:rPr>
        <w:t>48</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_Toc743 </w:instrText>
      </w:r>
      <w:r>
        <w:rPr>
          <w:rFonts w:ascii="Times New Roman" w:hAnsi="Times New Roman" w:eastAsia="宋体"/>
          <w:sz w:val="24"/>
          <w:szCs w:val="21"/>
        </w:rPr>
        <w:fldChar w:fldCharType="separate"/>
      </w:r>
      <w:r>
        <w:rPr>
          <w:rFonts w:ascii="Times New Roman" w:hAnsi="Times New Roman"/>
          <w:bCs/>
          <w:sz w:val="24"/>
        </w:rPr>
        <w:t>7.2.3水环境风险受体敏感程度（E）评估</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_Toc743 </w:instrText>
      </w:r>
      <w:r>
        <w:rPr>
          <w:rFonts w:ascii="Times New Roman" w:hAnsi="Times New Roman"/>
          <w:sz w:val="24"/>
        </w:rPr>
        <w:fldChar w:fldCharType="separate"/>
      </w:r>
      <w:r>
        <w:rPr>
          <w:rFonts w:ascii="Times New Roman" w:hAnsi="Times New Roman"/>
          <w:sz w:val="24"/>
        </w:rPr>
        <w:t>49</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_Toc32041 </w:instrText>
      </w:r>
      <w:r>
        <w:rPr>
          <w:rFonts w:ascii="Times New Roman" w:hAnsi="Times New Roman" w:eastAsia="宋体"/>
          <w:sz w:val="24"/>
          <w:szCs w:val="21"/>
        </w:rPr>
        <w:fldChar w:fldCharType="separate"/>
      </w:r>
      <w:r>
        <w:rPr>
          <w:rFonts w:ascii="Times New Roman" w:hAnsi="Times New Roman"/>
          <w:bCs/>
          <w:sz w:val="24"/>
        </w:rPr>
        <w:t>7.2.4突发水环境事件风险等级确定</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_Toc32041 </w:instrText>
      </w:r>
      <w:r>
        <w:rPr>
          <w:rFonts w:ascii="Times New Roman" w:hAnsi="Times New Roman"/>
          <w:sz w:val="24"/>
        </w:rPr>
        <w:fldChar w:fldCharType="separate"/>
      </w:r>
      <w:r>
        <w:rPr>
          <w:rFonts w:ascii="Times New Roman" w:hAnsi="Times New Roman"/>
          <w:sz w:val="24"/>
        </w:rPr>
        <w:t>50</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_Toc20207 </w:instrText>
      </w:r>
      <w:r>
        <w:rPr>
          <w:rFonts w:ascii="Times New Roman" w:hAnsi="Times New Roman" w:eastAsia="宋体"/>
          <w:sz w:val="24"/>
          <w:szCs w:val="21"/>
        </w:rPr>
        <w:fldChar w:fldCharType="separate"/>
      </w:r>
      <w:r>
        <w:rPr>
          <w:rFonts w:ascii="Times New Roman" w:hAnsi="Times New Roman"/>
          <w:bCs/>
          <w:sz w:val="24"/>
        </w:rPr>
        <w:t>7.2.5突发水环境事件风险等级表征</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_Toc20207 </w:instrText>
      </w:r>
      <w:r>
        <w:rPr>
          <w:rFonts w:ascii="Times New Roman" w:hAnsi="Times New Roman"/>
          <w:sz w:val="24"/>
        </w:rPr>
        <w:fldChar w:fldCharType="separate"/>
      </w:r>
      <w:r>
        <w:rPr>
          <w:rFonts w:ascii="Times New Roman" w:hAnsi="Times New Roman"/>
          <w:sz w:val="24"/>
        </w:rPr>
        <w:t>50</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_Toc7724 </w:instrText>
      </w:r>
      <w:r>
        <w:rPr>
          <w:rFonts w:ascii="Times New Roman" w:hAnsi="Times New Roman" w:eastAsia="宋体"/>
          <w:sz w:val="24"/>
          <w:szCs w:val="21"/>
        </w:rPr>
        <w:fldChar w:fldCharType="separate"/>
      </w:r>
      <w:r>
        <w:rPr>
          <w:rFonts w:ascii="Times New Roman" w:hAnsi="Times New Roman"/>
          <w:bCs/>
          <w:sz w:val="24"/>
        </w:rPr>
        <w:t>7.3企业突发环境事件风险等级确定与调整</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_Toc7724 </w:instrText>
      </w:r>
      <w:r>
        <w:rPr>
          <w:rFonts w:ascii="Times New Roman" w:hAnsi="Times New Roman"/>
          <w:sz w:val="24"/>
        </w:rPr>
        <w:fldChar w:fldCharType="separate"/>
      </w:r>
      <w:r>
        <w:rPr>
          <w:rFonts w:ascii="Times New Roman" w:hAnsi="Times New Roman"/>
          <w:sz w:val="24"/>
        </w:rPr>
        <w:t>50</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_Toc4158 </w:instrText>
      </w:r>
      <w:r>
        <w:rPr>
          <w:rFonts w:ascii="Times New Roman" w:hAnsi="Times New Roman" w:eastAsia="宋体"/>
          <w:sz w:val="24"/>
          <w:szCs w:val="21"/>
        </w:rPr>
        <w:fldChar w:fldCharType="separate"/>
      </w:r>
      <w:r>
        <w:rPr>
          <w:rFonts w:ascii="Times New Roman" w:hAnsi="Times New Roman"/>
          <w:bCs/>
          <w:sz w:val="24"/>
        </w:rPr>
        <w:t>7.3.1风险等级确定</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_Toc4158 </w:instrText>
      </w:r>
      <w:r>
        <w:rPr>
          <w:rFonts w:ascii="Times New Roman" w:hAnsi="Times New Roman"/>
          <w:sz w:val="24"/>
        </w:rPr>
        <w:fldChar w:fldCharType="separate"/>
      </w:r>
      <w:r>
        <w:rPr>
          <w:rFonts w:ascii="Times New Roman" w:hAnsi="Times New Roman"/>
          <w:sz w:val="24"/>
        </w:rPr>
        <w:t>50</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_Toc21080 </w:instrText>
      </w:r>
      <w:r>
        <w:rPr>
          <w:rFonts w:ascii="Times New Roman" w:hAnsi="Times New Roman" w:eastAsia="宋体"/>
          <w:sz w:val="24"/>
          <w:szCs w:val="21"/>
        </w:rPr>
        <w:fldChar w:fldCharType="separate"/>
      </w:r>
      <w:r>
        <w:rPr>
          <w:rFonts w:ascii="Times New Roman" w:hAnsi="Times New Roman"/>
          <w:bCs/>
          <w:sz w:val="24"/>
        </w:rPr>
        <w:t>7.3.2风险等级调整</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_Toc21080 </w:instrText>
      </w:r>
      <w:r>
        <w:rPr>
          <w:rFonts w:ascii="Times New Roman" w:hAnsi="Times New Roman"/>
          <w:sz w:val="24"/>
        </w:rPr>
        <w:fldChar w:fldCharType="separate"/>
      </w:r>
      <w:r>
        <w:rPr>
          <w:rFonts w:ascii="Times New Roman" w:hAnsi="Times New Roman"/>
          <w:sz w:val="24"/>
        </w:rPr>
        <w:t>51</w:t>
      </w:r>
      <w:r>
        <w:rPr>
          <w:rFonts w:ascii="Times New Roman" w:hAnsi="Times New Roman"/>
          <w:sz w:val="24"/>
        </w:rPr>
        <w:fldChar w:fldCharType="end"/>
      </w:r>
      <w:r>
        <w:rPr>
          <w:rFonts w:ascii="Times New Roman" w:hAnsi="Times New Roman" w:eastAsia="宋体"/>
          <w:sz w:val="24"/>
          <w:szCs w:val="21"/>
        </w:rPr>
        <w:fldChar w:fldCharType="end"/>
      </w:r>
    </w:p>
    <w:p>
      <w:pPr>
        <w:pStyle w:val="10"/>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_Toc23558 </w:instrText>
      </w:r>
      <w:r>
        <w:rPr>
          <w:rFonts w:ascii="Times New Roman" w:hAnsi="Times New Roman" w:eastAsia="宋体"/>
          <w:sz w:val="24"/>
          <w:szCs w:val="21"/>
        </w:rPr>
        <w:fldChar w:fldCharType="separate"/>
      </w:r>
      <w:r>
        <w:rPr>
          <w:rFonts w:ascii="Times New Roman" w:hAnsi="Times New Roman"/>
          <w:bCs/>
          <w:sz w:val="24"/>
        </w:rPr>
        <w:t>7.3.3风险等级表征</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_Toc23558 </w:instrText>
      </w:r>
      <w:r>
        <w:rPr>
          <w:rFonts w:ascii="Times New Roman" w:hAnsi="Times New Roman"/>
          <w:sz w:val="24"/>
        </w:rPr>
        <w:fldChar w:fldCharType="separate"/>
      </w:r>
      <w:r>
        <w:rPr>
          <w:rFonts w:ascii="Times New Roman" w:hAnsi="Times New Roman"/>
          <w:sz w:val="24"/>
        </w:rPr>
        <w:t>51</w:t>
      </w:r>
      <w:r>
        <w:rPr>
          <w:rFonts w:ascii="Times New Roman" w:hAnsi="Times New Roman"/>
          <w:sz w:val="24"/>
        </w:rPr>
        <w:fldChar w:fldCharType="end"/>
      </w:r>
      <w:r>
        <w:rPr>
          <w:rFonts w:ascii="Times New Roman" w:hAnsi="Times New Roman" w:eastAsia="宋体"/>
          <w:sz w:val="24"/>
          <w:szCs w:val="21"/>
        </w:rPr>
        <w:fldChar w:fldCharType="end"/>
      </w:r>
    </w:p>
    <w:p>
      <w:pPr>
        <w:pStyle w:val="12"/>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_Toc17465 </w:instrText>
      </w:r>
      <w:r>
        <w:rPr>
          <w:rFonts w:ascii="Times New Roman" w:hAnsi="Times New Roman" w:eastAsia="宋体"/>
          <w:sz w:val="24"/>
          <w:szCs w:val="21"/>
        </w:rPr>
        <w:fldChar w:fldCharType="separate"/>
      </w:r>
      <w:r>
        <w:rPr>
          <w:rFonts w:ascii="Times New Roman" w:hAnsi="Times New Roman" w:eastAsia="宋体"/>
          <w:sz w:val="24"/>
        </w:rPr>
        <w:t>附图1：项目地理位置图</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_Toc17465 </w:instrText>
      </w:r>
      <w:r>
        <w:rPr>
          <w:rFonts w:ascii="Times New Roman" w:hAnsi="Times New Roman"/>
          <w:sz w:val="24"/>
        </w:rPr>
        <w:fldChar w:fldCharType="separate"/>
      </w:r>
      <w:r>
        <w:rPr>
          <w:rFonts w:ascii="Times New Roman" w:hAnsi="Times New Roman"/>
          <w:sz w:val="24"/>
        </w:rPr>
        <w:t>I</w:t>
      </w:r>
      <w:r>
        <w:rPr>
          <w:rFonts w:ascii="Times New Roman" w:hAnsi="Times New Roman"/>
          <w:sz w:val="24"/>
        </w:rPr>
        <w:fldChar w:fldCharType="end"/>
      </w:r>
      <w:r>
        <w:rPr>
          <w:rFonts w:ascii="Times New Roman" w:hAnsi="Times New Roman" w:eastAsia="宋体"/>
          <w:sz w:val="24"/>
          <w:szCs w:val="21"/>
        </w:rPr>
        <w:fldChar w:fldCharType="end"/>
      </w:r>
    </w:p>
    <w:p>
      <w:pPr>
        <w:pStyle w:val="12"/>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_Toc23640 </w:instrText>
      </w:r>
      <w:r>
        <w:rPr>
          <w:rFonts w:ascii="Times New Roman" w:hAnsi="Times New Roman" w:eastAsia="宋体"/>
          <w:sz w:val="24"/>
          <w:szCs w:val="21"/>
        </w:rPr>
        <w:fldChar w:fldCharType="separate"/>
      </w:r>
      <w:r>
        <w:rPr>
          <w:rFonts w:ascii="Times New Roman" w:hAnsi="Times New Roman" w:eastAsia="宋体"/>
          <w:sz w:val="24"/>
        </w:rPr>
        <w:t>附图2：项目周边环境受体分布图</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_Toc23640 </w:instrText>
      </w:r>
      <w:r>
        <w:rPr>
          <w:rFonts w:ascii="Times New Roman" w:hAnsi="Times New Roman"/>
          <w:sz w:val="24"/>
        </w:rPr>
        <w:fldChar w:fldCharType="separate"/>
      </w:r>
      <w:r>
        <w:rPr>
          <w:rFonts w:ascii="Times New Roman" w:hAnsi="Times New Roman"/>
          <w:sz w:val="24"/>
        </w:rPr>
        <w:t>II</w:t>
      </w:r>
      <w:r>
        <w:rPr>
          <w:rFonts w:ascii="Times New Roman" w:hAnsi="Times New Roman"/>
          <w:sz w:val="24"/>
        </w:rPr>
        <w:fldChar w:fldCharType="end"/>
      </w:r>
      <w:r>
        <w:rPr>
          <w:rFonts w:ascii="Times New Roman" w:hAnsi="Times New Roman" w:eastAsia="宋体"/>
          <w:sz w:val="24"/>
          <w:szCs w:val="21"/>
        </w:rPr>
        <w:fldChar w:fldCharType="end"/>
      </w:r>
    </w:p>
    <w:p>
      <w:pPr>
        <w:pStyle w:val="12"/>
        <w:tabs>
          <w:tab w:val="right" w:leader="dot" w:pos="8306"/>
        </w:tabs>
        <w:rPr>
          <w:rFonts w:ascii="Times New Roman" w:hAnsi="Times New Roman"/>
          <w:sz w:val="24"/>
        </w:rPr>
      </w:pP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_Toc16516 </w:instrText>
      </w:r>
      <w:r>
        <w:rPr>
          <w:rFonts w:ascii="Times New Roman" w:hAnsi="Times New Roman" w:eastAsia="宋体"/>
          <w:sz w:val="24"/>
          <w:szCs w:val="21"/>
        </w:rPr>
        <w:fldChar w:fldCharType="separate"/>
      </w:r>
      <w:r>
        <w:rPr>
          <w:rFonts w:ascii="Times New Roman" w:hAnsi="Times New Roman" w:eastAsia="宋体"/>
          <w:sz w:val="24"/>
        </w:rPr>
        <w:t>附件</w:t>
      </w:r>
      <w:r>
        <w:rPr>
          <w:rFonts w:hint="eastAsia" w:ascii="Times New Roman" w:hAnsi="Times New Roman" w:eastAsia="宋体"/>
          <w:sz w:val="24"/>
        </w:rPr>
        <w:t>一</w:t>
      </w:r>
      <w:r>
        <w:rPr>
          <w:rFonts w:hint="eastAsia" w:ascii="Times New Roman" w:hAnsi="Times New Roman" w:eastAsia="宋体"/>
          <w:sz w:val="24"/>
          <w:lang w:val="en-US" w:eastAsia="zh-CN"/>
        </w:rPr>
        <w:t xml:space="preserve"> </w:t>
      </w:r>
      <w:r>
        <w:rPr>
          <w:rFonts w:ascii="Times New Roman" w:hAnsi="Times New Roman" w:eastAsia="宋体"/>
          <w:sz w:val="24"/>
        </w:rPr>
        <w:t>加油站应急救援小组联系人及电话</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_Toc16516 </w:instrText>
      </w:r>
      <w:r>
        <w:rPr>
          <w:rFonts w:ascii="Times New Roman" w:hAnsi="Times New Roman"/>
          <w:sz w:val="24"/>
        </w:rPr>
        <w:fldChar w:fldCharType="separate"/>
      </w:r>
      <w:r>
        <w:rPr>
          <w:rFonts w:ascii="Times New Roman" w:hAnsi="Times New Roman"/>
          <w:sz w:val="24"/>
        </w:rPr>
        <w:t>III</w:t>
      </w:r>
      <w:r>
        <w:rPr>
          <w:rFonts w:ascii="Times New Roman" w:hAnsi="Times New Roman"/>
          <w:sz w:val="24"/>
        </w:rPr>
        <w:fldChar w:fldCharType="end"/>
      </w:r>
      <w:r>
        <w:rPr>
          <w:rFonts w:ascii="Times New Roman" w:hAnsi="Times New Roman" w:eastAsia="宋体"/>
          <w:sz w:val="24"/>
          <w:szCs w:val="21"/>
        </w:rPr>
        <w:fldChar w:fldCharType="end"/>
      </w:r>
    </w:p>
    <w:p>
      <w:pPr>
        <w:pStyle w:val="12"/>
        <w:tabs>
          <w:tab w:val="right" w:leader="dot" w:pos="8306"/>
        </w:tabs>
        <w:rPr>
          <w:rFonts w:ascii="Times New Roman" w:hAnsi="Times New Roman"/>
          <w:sz w:val="24"/>
        </w:rPr>
      </w:pPr>
      <w:r>
        <w:rPr>
          <w:rFonts w:ascii="Times New Roman" w:hAnsi="Times New Roman" w:eastAsia="宋体"/>
          <w:sz w:val="24"/>
          <w:szCs w:val="21"/>
        </w:rPr>
        <w:fldChar w:fldCharType="end"/>
      </w:r>
      <w:r>
        <w:rPr>
          <w:rFonts w:ascii="Times New Roman" w:hAnsi="Times New Roman" w:eastAsia="宋体"/>
          <w:sz w:val="24"/>
          <w:szCs w:val="21"/>
        </w:rPr>
        <w:fldChar w:fldCharType="begin"/>
      </w:r>
      <w:r>
        <w:rPr>
          <w:rFonts w:ascii="Times New Roman" w:hAnsi="Times New Roman" w:eastAsia="宋体"/>
          <w:sz w:val="24"/>
          <w:szCs w:val="21"/>
        </w:rPr>
        <w:instrText xml:space="preserve"> HYPERLINK \l _Toc16516 </w:instrText>
      </w:r>
      <w:r>
        <w:rPr>
          <w:rFonts w:ascii="Times New Roman" w:hAnsi="Times New Roman" w:eastAsia="宋体"/>
          <w:sz w:val="24"/>
          <w:szCs w:val="21"/>
        </w:rPr>
        <w:fldChar w:fldCharType="separate"/>
      </w:r>
      <w:r>
        <w:rPr>
          <w:rFonts w:ascii="Times New Roman" w:hAnsi="Times New Roman" w:eastAsia="宋体"/>
          <w:sz w:val="24"/>
        </w:rPr>
        <w:t>附件</w:t>
      </w:r>
      <w:r>
        <w:rPr>
          <w:rFonts w:hint="eastAsia" w:ascii="Times New Roman" w:hAnsi="Times New Roman"/>
          <w:sz w:val="24"/>
          <w:lang w:val="en-US" w:eastAsia="zh-CN"/>
        </w:rPr>
        <w:t>二</w:t>
      </w:r>
      <w:r>
        <w:rPr>
          <w:rFonts w:hint="eastAsia" w:ascii="Times New Roman" w:hAnsi="Times New Roman" w:eastAsia="宋体"/>
          <w:sz w:val="24"/>
          <w:lang w:val="en-US" w:eastAsia="zh-CN"/>
        </w:rPr>
        <w:t xml:space="preserve"> </w:t>
      </w:r>
      <w:r>
        <w:rPr>
          <w:rFonts w:hint="eastAsia" w:ascii="Times New Roman" w:hAnsi="Times New Roman"/>
          <w:sz w:val="24"/>
          <w:lang w:val="en-US" w:eastAsia="zh-CN"/>
        </w:rPr>
        <w:t>环评批复</w:t>
      </w:r>
      <w:r>
        <w:rPr>
          <w:rFonts w:ascii="Times New Roman" w:hAnsi="Times New Roman"/>
          <w:sz w:val="24"/>
        </w:rPr>
        <w:tab/>
      </w:r>
      <w:r>
        <w:rPr>
          <w:rFonts w:hint="eastAsia" w:ascii="Times New Roman" w:hAnsi="Times New Roman"/>
          <w:sz w:val="24"/>
        </w:rPr>
        <w:t>Ⅳ</w:t>
      </w:r>
      <w:r>
        <w:rPr>
          <w:rFonts w:ascii="Times New Roman" w:hAnsi="Times New Roman" w:eastAsia="宋体"/>
          <w:sz w:val="24"/>
          <w:szCs w:val="21"/>
        </w:rPr>
        <w:fldChar w:fldCharType="end"/>
      </w:r>
    </w:p>
    <w:p>
      <w:pPr>
        <w:pStyle w:val="2"/>
        <w:ind w:left="0" w:leftChars="0" w:firstLine="0" w:firstLineChars="0"/>
        <w:jc w:val="center"/>
        <w:rPr>
          <w:rFonts w:hint="default" w:ascii="Times New Roman" w:hAnsi="Times New Roman" w:eastAsia="宋体" w:cs="Times New Roman"/>
          <w:b/>
          <w:bCs/>
          <w:kern w:val="2"/>
          <w:sz w:val="30"/>
          <w:szCs w:val="30"/>
          <w:lang w:val="en-US" w:eastAsia="zh-CN" w:bidi="ar-SA"/>
        </w:rPr>
      </w:pPr>
      <w:r>
        <w:rPr>
          <w:szCs w:val="21"/>
        </w:rPr>
        <w:br w:type="page"/>
      </w:r>
      <w:r>
        <w:rPr>
          <w:rFonts w:hint="default" w:ascii="Times New Roman" w:hAnsi="Times New Roman" w:eastAsia="宋体" w:cs="Times New Roman"/>
          <w:b/>
          <w:bCs/>
          <w:kern w:val="2"/>
          <w:sz w:val="30"/>
          <w:szCs w:val="30"/>
          <w:lang w:val="en-US" w:eastAsia="zh-CN" w:bidi="ar-SA"/>
        </w:rPr>
        <w:t>1、前言</w:t>
      </w:r>
    </w:p>
    <w:p>
      <w:pPr>
        <w:autoSpaceDN w:val="0"/>
        <w:spacing w:line="360" w:lineRule="auto"/>
        <w:ind w:firstLine="480" w:firstLineChars="200"/>
        <w:jc w:val="left"/>
        <w:rPr>
          <w:color w:val="000000"/>
          <w:sz w:val="24"/>
        </w:rPr>
      </w:pPr>
      <w:bookmarkStart w:id="1" w:name="_Hlk11342536"/>
      <w:r>
        <w:rPr>
          <w:color w:val="000000"/>
          <w:sz w:val="24"/>
        </w:rPr>
        <w:t>中国</w:t>
      </w:r>
      <w:r>
        <w:rPr>
          <w:rFonts w:hint="eastAsia"/>
          <w:color w:val="000000"/>
          <w:sz w:val="24"/>
          <w:lang w:val="en-US" w:eastAsia="zh-CN"/>
        </w:rPr>
        <w:t>石油天然气</w:t>
      </w:r>
      <w:r>
        <w:rPr>
          <w:color w:val="000000"/>
          <w:sz w:val="24"/>
        </w:rPr>
        <w:t>股份有限公司江西南昌</w:t>
      </w:r>
      <w:r>
        <w:rPr>
          <w:rFonts w:hint="eastAsia"/>
          <w:color w:val="000000"/>
          <w:sz w:val="24"/>
          <w:lang w:val="en-US" w:eastAsia="zh-CN"/>
        </w:rPr>
        <w:t>双港大道</w:t>
      </w:r>
      <w:r>
        <w:rPr>
          <w:color w:val="000000"/>
          <w:sz w:val="24"/>
        </w:rPr>
        <w:t>加油站</w:t>
      </w:r>
      <w:bookmarkEnd w:id="1"/>
      <w:r>
        <w:rPr>
          <w:color w:val="000000"/>
          <w:sz w:val="24"/>
        </w:rPr>
        <w:t>位于</w:t>
      </w:r>
      <w:r>
        <w:rPr>
          <w:rFonts w:hint="eastAsia" w:asciiTheme="minorEastAsia" w:hAnsiTheme="minorEastAsia" w:eastAsiaTheme="minorEastAsia" w:cstheme="minorEastAsia"/>
          <w:color w:val="000000"/>
          <w:sz w:val="24"/>
          <w:szCs w:val="24"/>
        </w:rPr>
        <w:t>江西省南昌市</w:t>
      </w:r>
      <w:r>
        <w:rPr>
          <w:rStyle w:val="39"/>
          <w:rFonts w:hint="eastAsia" w:asciiTheme="minorEastAsia" w:hAnsiTheme="minorEastAsia" w:eastAsiaTheme="minorEastAsia" w:cstheme="minorEastAsia"/>
          <w:kern w:val="0"/>
          <w:sz w:val="24"/>
          <w:szCs w:val="24"/>
        </w:rPr>
        <w:t>双港大道与庐山大道交汇处</w:t>
      </w:r>
      <w:r>
        <w:rPr>
          <w:color w:val="000000"/>
          <w:sz w:val="24"/>
        </w:rPr>
        <w:t>，</w:t>
      </w:r>
      <w:bookmarkStart w:id="2" w:name="_Hlk11939675"/>
      <w:r>
        <w:rPr>
          <w:color w:val="000000"/>
          <w:sz w:val="24"/>
        </w:rPr>
        <w:t>目前项目已获得由南昌县市场和质量监督管理局下发的“营业执照”（统一社会信用</w:t>
      </w:r>
      <w:r>
        <w:rPr>
          <w:sz w:val="24"/>
        </w:rPr>
        <w:t>代码为</w:t>
      </w:r>
      <w:r>
        <w:rPr>
          <w:rFonts w:hint="default" w:ascii="Times New Roman" w:hAnsi="Times New Roman" w:eastAsia="微软雅黑" w:cs="Times New Roman"/>
          <w:i w:val="0"/>
          <w:caps w:val="0"/>
          <w:color w:val="333333"/>
          <w:spacing w:val="0"/>
          <w:sz w:val="24"/>
          <w:szCs w:val="24"/>
          <w:shd w:val="clear" w:fill="FFFFFF"/>
        </w:rPr>
        <w:t>91360108586552573N</w:t>
      </w:r>
      <w:r>
        <w:rPr>
          <w:sz w:val="24"/>
        </w:rPr>
        <w:t>），江西省商务厅下发的“成品油零售经营批准证书”（油零售证书第赣</w:t>
      </w:r>
      <w:r>
        <w:rPr>
          <w:rFonts w:hint="eastAsia"/>
          <w:sz w:val="24"/>
          <w:lang w:eastAsia="zh-CN"/>
        </w:rPr>
        <w:t>A10-42218</w:t>
      </w:r>
      <w:r>
        <w:rPr>
          <w:sz w:val="24"/>
        </w:rPr>
        <w:t>号），南昌市安全生产监督管理局下发的“危险化学品经营许可证”（赣</w:t>
      </w:r>
      <w:r>
        <w:rPr>
          <w:rFonts w:hint="eastAsia"/>
          <w:sz w:val="24"/>
        </w:rPr>
        <w:t>洪安经（甲）</w:t>
      </w:r>
      <w:r>
        <w:rPr>
          <w:sz w:val="24"/>
        </w:rPr>
        <w:t>字</w:t>
      </w:r>
      <w:r>
        <w:rPr>
          <w:rFonts w:hint="default" w:ascii="Times New Roman" w:hAnsi="Times New Roman" w:cs="Times New Roman"/>
          <w:sz w:val="24"/>
        </w:rPr>
        <w:t>[201</w:t>
      </w:r>
      <w:r>
        <w:rPr>
          <w:rFonts w:hint="eastAsia" w:ascii="Times New Roman" w:hAnsi="Times New Roman" w:cs="Times New Roman"/>
          <w:sz w:val="24"/>
          <w:lang w:val="en-US" w:eastAsia="zh-CN"/>
        </w:rPr>
        <w:t>7</w:t>
      </w:r>
      <w:r>
        <w:rPr>
          <w:rFonts w:hint="default" w:ascii="Times New Roman" w:hAnsi="Times New Roman" w:cs="Times New Roman"/>
          <w:sz w:val="24"/>
        </w:rPr>
        <w:t>]00</w:t>
      </w:r>
      <w:r>
        <w:rPr>
          <w:rFonts w:hint="eastAsia" w:ascii="Times New Roman" w:hAnsi="Times New Roman" w:cs="Times New Roman"/>
          <w:sz w:val="24"/>
          <w:lang w:val="en-US" w:eastAsia="zh-CN"/>
        </w:rPr>
        <w:t>11</w:t>
      </w:r>
      <w:r>
        <w:rPr>
          <w:sz w:val="24"/>
        </w:rPr>
        <w:t>号）。</w:t>
      </w:r>
      <w:bookmarkEnd w:id="2"/>
      <w:r>
        <w:rPr>
          <w:sz w:val="24"/>
        </w:rPr>
        <w:t>加油站</w:t>
      </w:r>
      <w:r>
        <w:rPr>
          <w:color w:val="000000"/>
          <w:sz w:val="24"/>
        </w:rPr>
        <w:t>总占地面积约为</w:t>
      </w:r>
      <w:r>
        <w:rPr>
          <w:rFonts w:hint="eastAsia"/>
          <w:color w:val="000000"/>
          <w:sz w:val="24"/>
          <w:lang w:val="en-US" w:eastAsia="zh-CN"/>
        </w:rPr>
        <w:t>6400</w:t>
      </w:r>
      <w:r>
        <w:rPr>
          <w:color w:val="000000"/>
          <w:sz w:val="24"/>
        </w:rPr>
        <w:t>m</w:t>
      </w:r>
      <w:r>
        <w:rPr>
          <w:color w:val="000000"/>
          <w:sz w:val="24"/>
          <w:vertAlign w:val="superscript"/>
        </w:rPr>
        <w:t>2</w:t>
      </w:r>
      <w:r>
        <w:rPr>
          <w:color w:val="000000"/>
          <w:sz w:val="24"/>
        </w:rPr>
        <w:t>，建筑面积约为</w:t>
      </w:r>
      <w:r>
        <w:rPr>
          <w:rFonts w:hint="eastAsia"/>
          <w:color w:val="000000"/>
          <w:sz w:val="24"/>
          <w:lang w:val="en-US" w:eastAsia="zh-CN"/>
        </w:rPr>
        <w:t>1900</w:t>
      </w:r>
      <w:r>
        <w:rPr>
          <w:color w:val="000000"/>
          <w:sz w:val="24"/>
        </w:rPr>
        <w:t>m</w:t>
      </w:r>
      <w:r>
        <w:rPr>
          <w:color w:val="000000"/>
          <w:sz w:val="24"/>
          <w:vertAlign w:val="superscript"/>
        </w:rPr>
        <w:t>2</w:t>
      </w:r>
      <w:r>
        <w:rPr>
          <w:color w:val="000000"/>
          <w:sz w:val="24"/>
        </w:rPr>
        <w:t>。项目主要分为三个区，分别为</w:t>
      </w:r>
      <w:r>
        <w:rPr>
          <w:rFonts w:hint="eastAsia" w:ascii="宋体" w:hAnsi="宋体" w:cs="宋体"/>
          <w:color w:val="000000"/>
          <w:sz w:val="24"/>
        </w:rPr>
        <w:t>①</w:t>
      </w:r>
      <w:r>
        <w:rPr>
          <w:color w:val="000000"/>
          <w:sz w:val="24"/>
        </w:rPr>
        <w:t>储油罐区</w:t>
      </w:r>
      <w:r>
        <w:rPr>
          <w:rFonts w:hint="eastAsia" w:ascii="宋体" w:hAnsi="宋体" w:cs="宋体"/>
          <w:color w:val="000000"/>
          <w:sz w:val="24"/>
        </w:rPr>
        <w:t>②</w:t>
      </w:r>
      <w:r>
        <w:rPr>
          <w:color w:val="000000"/>
          <w:sz w:val="24"/>
        </w:rPr>
        <w:t>营业区</w:t>
      </w:r>
      <w:r>
        <w:rPr>
          <w:rFonts w:hint="eastAsia" w:ascii="宋体" w:hAnsi="宋体" w:cs="宋体"/>
          <w:color w:val="000000"/>
          <w:sz w:val="24"/>
        </w:rPr>
        <w:t>③</w:t>
      </w:r>
      <w:r>
        <w:rPr>
          <w:color w:val="000000"/>
          <w:sz w:val="24"/>
        </w:rPr>
        <w:t>加油区。储油罐区包括储罐区、卸油区；营业区包括站房、便利店、辅助用房及卫生间等；加油区即为加油机所在区。</w:t>
      </w:r>
      <w:bookmarkStart w:id="3" w:name="_Hlk11352631"/>
      <w:r>
        <w:rPr>
          <w:rFonts w:ascii="Times New Roman" w:hAnsi="Times New Roman" w:cs="Times New Roman"/>
          <w:color w:val="000000" w:themeColor="text1"/>
          <w:sz w:val="24"/>
          <w:szCs w:val="24"/>
        </w:rPr>
        <w:t>项目储罐区建设有</w:t>
      </w:r>
      <w:r>
        <w:rPr>
          <w:rFonts w:hint="eastAsia" w:ascii="Times New Roman" w:hAnsi="Times New Roman" w:cs="Times New Roman"/>
          <w:color w:val="000000" w:themeColor="text1"/>
          <w:sz w:val="24"/>
          <w:szCs w:val="24"/>
          <w:lang w:val="en-US" w:eastAsia="zh-CN"/>
        </w:rPr>
        <w:t>5</w:t>
      </w:r>
      <w:r>
        <w:rPr>
          <w:rFonts w:ascii="Times New Roman" w:hAnsi="Times New Roman" w:cs="Times New Roman"/>
          <w:color w:val="000000" w:themeColor="text1"/>
          <w:sz w:val="24"/>
          <w:szCs w:val="24"/>
        </w:rPr>
        <w:t>个地埋卧式油罐，包括0#柴油油罐</w:t>
      </w:r>
      <w:r>
        <w:rPr>
          <w:rFonts w:hint="eastAsia" w:ascii="Times New Roman" w:hAnsi="Times New Roman" w:cs="Times New Roman"/>
          <w:color w:val="000000" w:themeColor="text1"/>
          <w:sz w:val="24"/>
          <w:szCs w:val="24"/>
          <w:lang w:val="en-US" w:eastAsia="zh-CN"/>
        </w:rPr>
        <w:t>2</w:t>
      </w:r>
      <w:r>
        <w:rPr>
          <w:rFonts w:ascii="Times New Roman" w:hAnsi="Times New Roman" w:cs="Times New Roman"/>
          <w:color w:val="000000" w:themeColor="text1"/>
          <w:sz w:val="24"/>
          <w:szCs w:val="24"/>
        </w:rPr>
        <w:t>台、93#汽油油罐</w:t>
      </w:r>
      <w:r>
        <w:rPr>
          <w:rFonts w:hint="eastAsia" w:ascii="Times New Roman" w:hAnsi="Times New Roman" w:cs="Times New Roman"/>
          <w:color w:val="000000" w:themeColor="text1"/>
          <w:sz w:val="24"/>
          <w:szCs w:val="24"/>
          <w:lang w:val="en-US" w:eastAsia="zh-CN"/>
        </w:rPr>
        <w:t>2台</w:t>
      </w:r>
      <w:r>
        <w:rPr>
          <w:rFonts w:ascii="Times New Roman" w:hAnsi="Times New Roman" w:cs="Times New Roman"/>
          <w:color w:val="000000" w:themeColor="text1"/>
          <w:sz w:val="24"/>
          <w:szCs w:val="24"/>
        </w:rPr>
        <w:t>，9</w:t>
      </w:r>
      <w:r>
        <w:rPr>
          <w:rFonts w:hint="eastAsia" w:ascii="Times New Roman" w:hAnsi="Times New Roman" w:cs="Times New Roman"/>
          <w:color w:val="000000" w:themeColor="text1"/>
          <w:sz w:val="24"/>
          <w:szCs w:val="24"/>
          <w:lang w:val="en-US" w:eastAsia="zh-CN"/>
        </w:rPr>
        <w:t>7</w:t>
      </w:r>
      <w:r>
        <w:rPr>
          <w:rFonts w:ascii="Times New Roman" w:hAnsi="Times New Roman" w:cs="Times New Roman"/>
          <w:color w:val="000000" w:themeColor="text1"/>
          <w:sz w:val="24"/>
          <w:szCs w:val="24"/>
        </w:rPr>
        <w:t>#汽油油罐</w:t>
      </w:r>
      <w:r>
        <w:rPr>
          <w:rFonts w:hint="eastAsia" w:ascii="Times New Roman" w:hAnsi="Times New Roman" w:cs="Times New Roman"/>
          <w:color w:val="000000" w:themeColor="text1"/>
          <w:sz w:val="24"/>
          <w:szCs w:val="24"/>
          <w:lang w:val="en-US" w:eastAsia="zh-CN"/>
        </w:rPr>
        <w:t>1台</w:t>
      </w:r>
      <w:r>
        <w:rPr>
          <w:rFonts w:ascii="Times New Roman" w:hAnsi="Times New Roman" w:cs="Times New Roman"/>
          <w:color w:val="000000" w:themeColor="text1"/>
          <w:sz w:val="24"/>
          <w:szCs w:val="24"/>
        </w:rPr>
        <w:t>，总容积折合汽油罐容积为</w:t>
      </w:r>
      <w:r>
        <w:rPr>
          <w:rFonts w:hint="eastAsia" w:ascii="Times New Roman" w:hAnsi="Times New Roman" w:cs="Times New Roman"/>
          <w:color w:val="000000" w:themeColor="text1"/>
          <w:sz w:val="24"/>
          <w:szCs w:val="24"/>
          <w:lang w:val="en-US" w:eastAsia="zh-CN"/>
        </w:rPr>
        <w:t>120</w:t>
      </w:r>
      <w:r>
        <w:rPr>
          <w:rFonts w:ascii="Times New Roman" w:hAnsi="Times New Roman" w:cs="Times New Roman"/>
          <w:color w:val="000000" w:themeColor="text1"/>
          <w:sz w:val="24"/>
          <w:szCs w:val="24"/>
        </w:rPr>
        <w:t>m</w:t>
      </w:r>
      <w:r>
        <w:rPr>
          <w:rFonts w:ascii="Times New Roman" w:hAnsi="Times New Roman" w:cs="Times New Roman"/>
          <w:color w:val="000000" w:themeColor="text1"/>
          <w:sz w:val="24"/>
          <w:szCs w:val="24"/>
          <w:vertAlign w:val="superscript"/>
        </w:rPr>
        <w:t>3</w:t>
      </w:r>
      <w:r>
        <w:rPr>
          <w:rFonts w:hint="eastAsia" w:ascii="Times New Roman" w:hAnsi="Times New Roman" w:cs="Times New Roman"/>
          <w:color w:val="000000" w:themeColor="text1"/>
          <w:sz w:val="24"/>
          <w:szCs w:val="24"/>
          <w:lang w:eastAsia="zh-CN"/>
        </w:rPr>
        <w:t>（</w:t>
      </w:r>
      <w:r>
        <w:rPr>
          <w:rFonts w:hint="eastAsia" w:ascii="Times New Roman" w:hAnsi="Times New Roman" w:cs="Times New Roman"/>
          <w:color w:val="000000" w:themeColor="text1"/>
          <w:sz w:val="24"/>
          <w:szCs w:val="24"/>
          <w:lang w:val="en-US" w:eastAsia="zh-CN"/>
        </w:rPr>
        <w:t>柴油折半计算</w:t>
      </w:r>
      <w:r>
        <w:rPr>
          <w:rFonts w:hint="eastAsia"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rPr>
        <w:t>，为</w:t>
      </w:r>
      <w:r>
        <w:rPr>
          <w:rFonts w:hint="eastAsia" w:ascii="Times New Roman" w:hAnsi="Times New Roman" w:cs="Times New Roman"/>
          <w:color w:val="000000" w:themeColor="text1"/>
          <w:sz w:val="24"/>
          <w:szCs w:val="24"/>
          <w:lang w:val="en-US" w:eastAsia="zh-CN"/>
        </w:rPr>
        <w:t>二</w:t>
      </w:r>
      <w:r>
        <w:rPr>
          <w:rFonts w:ascii="Times New Roman" w:hAnsi="Times New Roman" w:cs="Times New Roman"/>
          <w:color w:val="000000" w:themeColor="text1"/>
          <w:sz w:val="24"/>
          <w:szCs w:val="24"/>
        </w:rPr>
        <w:t>级加油站</w:t>
      </w:r>
      <w:r>
        <w:rPr>
          <w:rFonts w:hint="eastAsia" w:ascii="Times New Roman" w:hAnsi="Times New Roman" w:cs="Times New Roman"/>
          <w:color w:val="000000" w:themeColor="text1"/>
          <w:sz w:val="24"/>
          <w:szCs w:val="24"/>
          <w:lang w:eastAsia="zh-CN"/>
        </w:rPr>
        <w:t>，</w:t>
      </w:r>
      <w:r>
        <w:rPr>
          <w:color w:val="000000"/>
          <w:sz w:val="24"/>
        </w:rPr>
        <w:t>配设</w:t>
      </w:r>
      <w:r>
        <w:rPr>
          <w:rFonts w:hint="default" w:ascii="Times New Roman" w:hAnsi="Times New Roman" w:cs="Times New Roman"/>
          <w:color w:val="000000"/>
          <w:sz w:val="24"/>
          <w:lang w:val="en-US" w:eastAsia="zh-CN"/>
        </w:rPr>
        <w:t>6</w:t>
      </w:r>
      <w:r>
        <w:rPr>
          <w:color w:val="000000"/>
          <w:sz w:val="24"/>
        </w:rPr>
        <w:t>台双枪加油机</w:t>
      </w:r>
      <w:r>
        <w:rPr>
          <w:rFonts w:hint="eastAsia"/>
          <w:color w:val="000000"/>
          <w:sz w:val="24"/>
          <w:lang w:eastAsia="zh-CN"/>
        </w:rPr>
        <w:t>。</w:t>
      </w:r>
      <w:r>
        <w:rPr>
          <w:color w:val="000000"/>
          <w:sz w:val="24"/>
        </w:rPr>
        <w:t>项目区设加油进出口2个。</w:t>
      </w:r>
      <w:bookmarkEnd w:id="3"/>
      <w:r>
        <w:rPr>
          <w:color w:val="000000"/>
          <w:sz w:val="24"/>
        </w:rPr>
        <w:t>本项目营业范围包括：柴油、汽油等。</w:t>
      </w:r>
    </w:p>
    <w:p>
      <w:pPr>
        <w:snapToGrid w:val="0"/>
        <w:spacing w:line="360" w:lineRule="auto"/>
        <w:ind w:firstLine="480" w:firstLineChars="200"/>
        <w:jc w:val="left"/>
        <w:rPr>
          <w:color w:val="000000"/>
          <w:sz w:val="24"/>
        </w:rPr>
      </w:pPr>
      <w:r>
        <w:rPr>
          <w:color w:val="000000"/>
          <w:sz w:val="24"/>
        </w:rPr>
        <w:t>加油站有职工</w:t>
      </w:r>
      <w:r>
        <w:rPr>
          <w:rFonts w:hint="eastAsia"/>
          <w:color w:val="000000"/>
          <w:sz w:val="24"/>
          <w:lang w:val="en-US" w:eastAsia="zh-CN"/>
        </w:rPr>
        <w:t>10</w:t>
      </w:r>
      <w:r>
        <w:rPr>
          <w:color w:val="000000"/>
          <w:sz w:val="24"/>
        </w:rPr>
        <w:t>人，站内设卫生间、宿舍，员工餐饮外购或自带；项目经营大车加水，不设置汽修、洗车等内容。加油站年工作365d，每天四班，每班6小时，每班1-2人。</w:t>
      </w:r>
    </w:p>
    <w:p>
      <w:pPr>
        <w:snapToGrid w:val="0"/>
        <w:spacing w:line="360" w:lineRule="auto"/>
        <w:ind w:left="562"/>
        <w:jc w:val="left"/>
        <w:rPr>
          <w:sz w:val="24"/>
        </w:rPr>
      </w:pPr>
      <w:r>
        <w:rPr>
          <w:b/>
          <w:sz w:val="24"/>
        </w:rPr>
        <w:t>加油站项目环保手续办理情况：</w:t>
      </w:r>
    </w:p>
    <w:p>
      <w:pPr>
        <w:autoSpaceDN w:val="0"/>
        <w:spacing w:line="500" w:lineRule="exact"/>
        <w:ind w:firstLine="720" w:firstLineChars="300"/>
        <w:jc w:val="left"/>
        <w:rPr>
          <w:kern w:val="0"/>
          <w:sz w:val="24"/>
          <w:szCs w:val="20"/>
        </w:rPr>
      </w:pPr>
      <w:r>
        <w:rPr>
          <w:rFonts w:hint="eastAsia"/>
          <w:kern w:val="0"/>
          <w:sz w:val="24"/>
          <w:szCs w:val="20"/>
        </w:rPr>
        <w:t>因本项目一直没有办理环评审批手续，根据国家环保法律法规、《国务院办公厅关于加强环境监管执法的通知》(国办发[2014]56 号)、《江西省环境保护委员会关于印发进一步加强清理整顿违法违规建设项目工作的通知》（赣环委字[2016]14 号）和《关于印发违法违规项目清理进一步推进工作方案的通知》 (洪环发[2016]87 号)，本项目以编制环境现状评价报告以办理“完善备案”手续。备案批复详见附件二。</w:t>
      </w:r>
    </w:p>
    <w:p>
      <w:pPr>
        <w:pStyle w:val="2"/>
        <w:ind w:firstLine="480"/>
        <w:rPr>
          <w:rFonts w:hint="default"/>
        </w:rPr>
      </w:pPr>
      <w:r>
        <w:t>根据《国家突发环境事件应急预案》（国办函〔2014〕119号）、《企业事业单位突发环境事件应急预案备案管理办法（试行）》（环发[2015]4号）、2014年4月3日国家环保部办公厅发布《企业突发环境事件风险评估指南（试行）》及2018年国家环境保护部第14号公告“关于发布国家环境保护标准《企业突发环境事件风险分级方法》的公告”等相关要求，加油站编制《中国</w:t>
      </w:r>
      <w:r>
        <w:rPr>
          <w:rFonts w:hint="eastAsia"/>
          <w:lang w:val="en-US" w:eastAsia="zh-CN"/>
        </w:rPr>
        <w:t>石油天然气</w:t>
      </w:r>
      <w:r>
        <w:t>股份有限公司江西南昌</w:t>
      </w:r>
      <w:r>
        <w:rPr>
          <w:rFonts w:hint="eastAsia"/>
          <w:lang w:val="en-US" w:eastAsia="zh-CN"/>
        </w:rPr>
        <w:t>双港大道</w:t>
      </w:r>
      <w:r>
        <w:t>加油站突发环境事件风险评估报告》。</w:t>
      </w:r>
    </w:p>
    <w:p>
      <w:pPr>
        <w:spacing w:line="360" w:lineRule="auto"/>
        <w:ind w:firstLine="480" w:firstLineChars="200"/>
        <w:rPr>
          <w:sz w:val="24"/>
        </w:rPr>
      </w:pPr>
      <w:r>
        <w:rPr>
          <w:sz w:val="24"/>
        </w:rPr>
        <w:t>通过开展突发环境事件风险评估，可以掌握自身环境风险状况，明确环境风险防控措施，为后期的加油站环境风险监管奠定基础，最终达到大幅度降低突发环境事件发生的目标。同时有利于</w:t>
      </w:r>
      <w:r>
        <w:rPr>
          <w:rFonts w:hint="eastAsia"/>
          <w:sz w:val="24"/>
        </w:rPr>
        <w:t>南昌市</w:t>
      </w:r>
      <w:r>
        <w:rPr>
          <w:sz w:val="24"/>
        </w:rPr>
        <w:t>环保部门加强对重点环境风险企业的针对性监督管理，提高管理效率，降低管理成本。</w:t>
      </w:r>
    </w:p>
    <w:p>
      <w:r>
        <w:rPr>
          <w:sz w:val="24"/>
        </w:rPr>
        <w:br w:type="page"/>
      </w:r>
    </w:p>
    <w:p>
      <w:pPr>
        <w:autoSpaceDE w:val="0"/>
        <w:autoSpaceDN w:val="0"/>
        <w:adjustRightInd w:val="0"/>
        <w:snapToGrid w:val="0"/>
        <w:spacing w:beforeLines="100" w:afterLines="50" w:line="360" w:lineRule="auto"/>
        <w:jc w:val="center"/>
        <w:outlineLvl w:val="0"/>
        <w:rPr>
          <w:rFonts w:ascii="Times New Roman" w:hAnsi="Times New Roman" w:cs="Times New Roman"/>
          <w:b/>
          <w:bCs/>
          <w:sz w:val="30"/>
          <w:szCs w:val="30"/>
        </w:rPr>
      </w:pPr>
      <w:bookmarkStart w:id="4" w:name="_Toc2828"/>
      <w:r>
        <w:rPr>
          <w:rFonts w:ascii="Times New Roman" w:hAnsi="Times New Roman" w:cs="Times New Roman"/>
          <w:b/>
          <w:bCs/>
          <w:sz w:val="30"/>
          <w:szCs w:val="30"/>
        </w:rPr>
        <w:t>2、评价依据</w:t>
      </w:r>
      <w:bookmarkEnd w:id="4"/>
    </w:p>
    <w:p>
      <w:pPr>
        <w:autoSpaceDE w:val="0"/>
        <w:autoSpaceDN w:val="0"/>
        <w:adjustRightInd w:val="0"/>
        <w:snapToGrid w:val="0"/>
        <w:spacing w:beforeLines="100" w:afterLines="50" w:line="360" w:lineRule="auto"/>
        <w:jc w:val="left"/>
        <w:outlineLvl w:val="0"/>
        <w:rPr>
          <w:b/>
          <w:bCs/>
          <w:sz w:val="24"/>
        </w:rPr>
      </w:pPr>
      <w:bookmarkStart w:id="5" w:name="_Toc26590"/>
      <w:r>
        <w:rPr>
          <w:b/>
          <w:bCs/>
          <w:sz w:val="24"/>
        </w:rPr>
        <w:t>2.1 编制原则</w:t>
      </w:r>
      <w:bookmarkEnd w:id="5"/>
    </w:p>
    <w:p>
      <w:pPr>
        <w:spacing w:line="360" w:lineRule="auto"/>
        <w:ind w:firstLine="480" w:firstLineChars="200"/>
        <w:rPr>
          <w:sz w:val="24"/>
        </w:rPr>
      </w:pPr>
      <w:r>
        <w:rPr>
          <w:sz w:val="24"/>
        </w:rPr>
        <w:t>按照</w:t>
      </w:r>
      <w:r>
        <w:rPr>
          <w:rFonts w:hint="eastAsia"/>
          <w:sz w:val="24"/>
        </w:rPr>
        <w:t>“</w:t>
      </w:r>
      <w:r>
        <w:rPr>
          <w:sz w:val="24"/>
        </w:rPr>
        <w:t>以人为本</w:t>
      </w:r>
      <w:r>
        <w:rPr>
          <w:rFonts w:hint="eastAsia"/>
          <w:sz w:val="24"/>
        </w:rPr>
        <w:t>”</w:t>
      </w:r>
      <w:r>
        <w:rPr>
          <w:sz w:val="24"/>
        </w:rPr>
        <w:t>的宗旨，合理保障人民群众的身体健康和环境安全，严格规范加油站突发环境事件风险评估行为，提高突发环境事件防控能力，全面落实加油站环境风险防控主体，并遵循以下原则开展环境风险评估工作： </w:t>
      </w:r>
    </w:p>
    <w:p>
      <w:pPr>
        <w:spacing w:line="360" w:lineRule="auto"/>
        <w:ind w:firstLine="480" w:firstLineChars="200"/>
        <w:rPr>
          <w:sz w:val="24"/>
        </w:rPr>
      </w:pPr>
      <w:r>
        <w:rPr>
          <w:sz w:val="24"/>
        </w:rPr>
        <w:t>①环境风险评估编制应体现科学性、规范性、客观性和真实性的原则。 </w:t>
      </w:r>
    </w:p>
    <w:p>
      <w:pPr>
        <w:spacing w:line="360" w:lineRule="auto"/>
        <w:ind w:firstLine="480" w:firstLineChars="200"/>
        <w:rPr>
          <w:sz w:val="24"/>
        </w:rPr>
      </w:pPr>
      <w:r>
        <w:rPr>
          <w:sz w:val="24"/>
        </w:rPr>
        <w:t>②环境风险评估过程中应贯彻执行我国环保相关的法律法规、标准、政策，分析加油站自身环境风险状况，明确环境风险防控措施。</w:t>
      </w:r>
    </w:p>
    <w:p>
      <w:pPr>
        <w:autoSpaceDE w:val="0"/>
        <w:autoSpaceDN w:val="0"/>
        <w:adjustRightInd w:val="0"/>
        <w:snapToGrid w:val="0"/>
        <w:spacing w:beforeLines="100" w:afterLines="50" w:line="360" w:lineRule="auto"/>
        <w:jc w:val="left"/>
        <w:outlineLvl w:val="0"/>
        <w:rPr>
          <w:b/>
          <w:bCs/>
          <w:sz w:val="24"/>
        </w:rPr>
      </w:pPr>
      <w:bookmarkStart w:id="6" w:name="_Toc31543"/>
      <w:r>
        <w:rPr>
          <w:b/>
          <w:bCs/>
          <w:sz w:val="24"/>
        </w:rPr>
        <w:t>2.2 编制依据</w:t>
      </w:r>
      <w:bookmarkEnd w:id="6"/>
    </w:p>
    <w:p>
      <w:pPr>
        <w:autoSpaceDE w:val="0"/>
        <w:autoSpaceDN w:val="0"/>
        <w:adjustRightInd w:val="0"/>
        <w:snapToGrid w:val="0"/>
        <w:spacing w:beforeLines="100" w:afterLines="50" w:line="360" w:lineRule="auto"/>
        <w:jc w:val="left"/>
        <w:outlineLvl w:val="0"/>
        <w:rPr>
          <w:b/>
          <w:bCs/>
          <w:sz w:val="24"/>
        </w:rPr>
      </w:pPr>
      <w:bookmarkStart w:id="7" w:name="_Toc12974"/>
      <w:r>
        <w:rPr>
          <w:b/>
          <w:bCs/>
          <w:sz w:val="24"/>
        </w:rPr>
        <w:t>2.2.1 法律、法规</w:t>
      </w:r>
      <w:bookmarkEnd w:id="7"/>
    </w:p>
    <w:p>
      <w:pPr>
        <w:pStyle w:val="2"/>
        <w:ind w:firstLine="480"/>
        <w:rPr>
          <w:rFonts w:hint="default"/>
          <w:szCs w:val="24"/>
        </w:rPr>
      </w:pPr>
      <w:bookmarkStart w:id="8" w:name="_Toc1877"/>
      <w:bookmarkStart w:id="9" w:name="_Toc22274"/>
      <w:r>
        <w:rPr>
          <w:rFonts w:hint="default"/>
          <w:szCs w:val="24"/>
        </w:rPr>
        <w:t>（1）《中华人民共和国环境保护法》（2015年1月1日实施）；</w:t>
      </w:r>
    </w:p>
    <w:p>
      <w:pPr>
        <w:pStyle w:val="2"/>
        <w:ind w:firstLine="480"/>
        <w:rPr>
          <w:rFonts w:hint="default"/>
          <w:szCs w:val="24"/>
          <w:lang w:val="zh-CN"/>
        </w:rPr>
      </w:pPr>
      <w:r>
        <w:rPr>
          <w:rFonts w:hint="default"/>
          <w:szCs w:val="24"/>
        </w:rPr>
        <w:t>（2）</w:t>
      </w:r>
      <w:r>
        <w:rPr>
          <w:rFonts w:hint="default"/>
          <w:szCs w:val="24"/>
          <w:lang w:val="zh-CN"/>
        </w:rPr>
        <w:t>《企业突发环境事件风险评估指南（试行）》（环办[2014]34号）；</w:t>
      </w:r>
    </w:p>
    <w:p>
      <w:pPr>
        <w:pStyle w:val="2"/>
        <w:ind w:firstLine="480"/>
        <w:rPr>
          <w:rFonts w:hint="default"/>
          <w:szCs w:val="24"/>
          <w:lang w:val="zh-CN"/>
        </w:rPr>
      </w:pPr>
      <w:r>
        <w:rPr>
          <w:rFonts w:hint="default"/>
          <w:szCs w:val="24"/>
        </w:rPr>
        <w:t>（3）《关于发布国家环境保护标准“企业突发环境事件风险分级方法”的公告》（环境保护部 2018年第14号公告）；</w:t>
      </w:r>
    </w:p>
    <w:p>
      <w:pPr>
        <w:pStyle w:val="2"/>
        <w:ind w:firstLine="480"/>
        <w:rPr>
          <w:rFonts w:hint="default"/>
          <w:szCs w:val="24"/>
        </w:rPr>
      </w:pPr>
      <w:r>
        <w:rPr>
          <w:rFonts w:hint="default"/>
          <w:szCs w:val="24"/>
        </w:rPr>
        <w:t>（4）《中华人民共和国安全生产法》（2014年12月1日实施）；</w:t>
      </w:r>
    </w:p>
    <w:p>
      <w:pPr>
        <w:pStyle w:val="2"/>
        <w:ind w:firstLine="480"/>
        <w:rPr>
          <w:rFonts w:hint="default"/>
          <w:szCs w:val="24"/>
        </w:rPr>
      </w:pPr>
      <w:r>
        <w:rPr>
          <w:rFonts w:hint="default"/>
          <w:szCs w:val="24"/>
        </w:rPr>
        <w:t>（5）《中华人民共和国消防法》（2009年5月1日起施行）；</w:t>
      </w:r>
    </w:p>
    <w:p>
      <w:pPr>
        <w:pStyle w:val="2"/>
        <w:ind w:firstLine="480"/>
        <w:rPr>
          <w:rFonts w:hint="default"/>
          <w:szCs w:val="24"/>
        </w:rPr>
      </w:pPr>
      <w:r>
        <w:rPr>
          <w:rFonts w:hint="default"/>
          <w:szCs w:val="24"/>
        </w:rPr>
        <w:t>（6）《国务院关于加强环境保护重点工作的意见》（国发〔2011〕35号）；</w:t>
      </w:r>
    </w:p>
    <w:p>
      <w:pPr>
        <w:pStyle w:val="2"/>
        <w:ind w:firstLine="480"/>
        <w:rPr>
          <w:rFonts w:hint="default"/>
          <w:szCs w:val="24"/>
        </w:rPr>
      </w:pPr>
      <w:r>
        <w:rPr>
          <w:rFonts w:hint="default"/>
          <w:szCs w:val="24"/>
        </w:rPr>
        <w:t>（7）《中华人民共和国突发事件应对法》（2007年11月1日实施）；</w:t>
      </w:r>
    </w:p>
    <w:p>
      <w:pPr>
        <w:pStyle w:val="2"/>
        <w:ind w:firstLine="480"/>
        <w:rPr>
          <w:rFonts w:hint="default"/>
          <w:szCs w:val="24"/>
        </w:rPr>
      </w:pPr>
      <w:r>
        <w:rPr>
          <w:rFonts w:hint="default"/>
          <w:szCs w:val="24"/>
        </w:rPr>
        <w:t>（8）《突发环境事件信息报告办法》（环境保护部令第17号）；</w:t>
      </w:r>
    </w:p>
    <w:p>
      <w:pPr>
        <w:pStyle w:val="2"/>
        <w:ind w:firstLine="480"/>
        <w:rPr>
          <w:rFonts w:hint="default"/>
          <w:szCs w:val="24"/>
        </w:rPr>
      </w:pPr>
      <w:r>
        <w:rPr>
          <w:rFonts w:hint="default"/>
          <w:szCs w:val="24"/>
        </w:rPr>
        <w:t>（9）《危险化学品重大危险源监督管理暂行规定》（安全监管总局令第40号）；</w:t>
      </w:r>
    </w:p>
    <w:p>
      <w:pPr>
        <w:pStyle w:val="2"/>
        <w:ind w:firstLine="480"/>
        <w:rPr>
          <w:rFonts w:hint="default"/>
          <w:szCs w:val="24"/>
        </w:rPr>
      </w:pPr>
      <w:r>
        <w:rPr>
          <w:rFonts w:hint="default"/>
          <w:szCs w:val="24"/>
        </w:rPr>
        <w:t>（10）《危险化学品生产企业安全生产许可证实施办法》（安全监管总局令第41号）；</w:t>
      </w:r>
    </w:p>
    <w:p>
      <w:pPr>
        <w:pStyle w:val="2"/>
        <w:ind w:firstLine="480"/>
        <w:rPr>
          <w:rFonts w:hint="default"/>
          <w:szCs w:val="24"/>
        </w:rPr>
      </w:pPr>
      <w:r>
        <w:rPr>
          <w:rFonts w:hint="default"/>
          <w:szCs w:val="24"/>
        </w:rPr>
        <w:t>（11）《危险化学品建设项目安全监督管理办法》（安全监管总局令第45号）；</w:t>
      </w:r>
    </w:p>
    <w:p>
      <w:pPr>
        <w:pStyle w:val="2"/>
        <w:ind w:firstLine="480"/>
        <w:rPr>
          <w:rFonts w:hint="default"/>
          <w:szCs w:val="24"/>
        </w:rPr>
      </w:pPr>
      <w:r>
        <w:rPr>
          <w:rFonts w:hint="default"/>
          <w:szCs w:val="24"/>
        </w:rPr>
        <w:t>（12）《突发环境事件应急预案管理暂行办法》（环发〔2010〕113号）；</w:t>
      </w:r>
    </w:p>
    <w:p>
      <w:pPr>
        <w:pStyle w:val="2"/>
        <w:ind w:firstLine="480"/>
        <w:rPr>
          <w:rFonts w:hint="default"/>
          <w:szCs w:val="24"/>
        </w:rPr>
      </w:pPr>
      <w:r>
        <w:rPr>
          <w:rFonts w:hint="default"/>
          <w:szCs w:val="24"/>
        </w:rPr>
        <w:t>（13）《化学品环境风险防控“十二五”规划》（环发〔2013〕20号）；</w:t>
      </w:r>
    </w:p>
    <w:p>
      <w:pPr>
        <w:pStyle w:val="2"/>
        <w:ind w:firstLine="480"/>
        <w:rPr>
          <w:rFonts w:hint="default"/>
          <w:szCs w:val="24"/>
        </w:rPr>
      </w:pPr>
      <w:r>
        <w:rPr>
          <w:rFonts w:hint="default"/>
          <w:szCs w:val="24"/>
        </w:rPr>
        <w:t>（14）《建设项目环境影响评价分类管理名录（2018年版）》；</w:t>
      </w:r>
    </w:p>
    <w:p>
      <w:pPr>
        <w:pStyle w:val="2"/>
        <w:ind w:firstLine="480"/>
        <w:rPr>
          <w:rFonts w:hint="default"/>
          <w:szCs w:val="24"/>
        </w:rPr>
      </w:pPr>
      <w:r>
        <w:rPr>
          <w:rFonts w:hint="default"/>
          <w:szCs w:val="24"/>
        </w:rPr>
        <w:t>（15）《产业结构调整指导目录</w:t>
      </w:r>
      <w:r>
        <w:rPr>
          <w:szCs w:val="24"/>
        </w:rPr>
        <w:t>（2</w:t>
      </w:r>
      <w:r>
        <w:rPr>
          <w:rFonts w:hint="default"/>
          <w:szCs w:val="24"/>
        </w:rPr>
        <w:t>011</w:t>
      </w:r>
      <w:r>
        <w:rPr>
          <w:szCs w:val="24"/>
        </w:rPr>
        <w:t>年本）</w:t>
      </w:r>
      <w:r>
        <w:rPr>
          <w:rFonts w:hint="default"/>
          <w:szCs w:val="24"/>
        </w:rPr>
        <w:t>》（2013</w:t>
      </w:r>
      <w:r>
        <w:rPr>
          <w:szCs w:val="24"/>
        </w:rPr>
        <w:t>年修改版</w:t>
      </w:r>
      <w:r>
        <w:rPr>
          <w:rFonts w:hint="default"/>
          <w:szCs w:val="24"/>
        </w:rPr>
        <w:t>）；</w:t>
      </w:r>
    </w:p>
    <w:p>
      <w:pPr>
        <w:pStyle w:val="2"/>
        <w:ind w:firstLine="480"/>
        <w:rPr>
          <w:rFonts w:hint="default"/>
          <w:szCs w:val="24"/>
        </w:rPr>
      </w:pPr>
      <w:r>
        <w:rPr>
          <w:rFonts w:hint="default"/>
          <w:szCs w:val="24"/>
        </w:rPr>
        <w:t>（16）《重点监管危险化工工艺目录》(2013年完整版)；</w:t>
      </w:r>
    </w:p>
    <w:p>
      <w:pPr>
        <w:pStyle w:val="2"/>
        <w:ind w:firstLine="480"/>
        <w:rPr>
          <w:rFonts w:hint="default"/>
          <w:szCs w:val="24"/>
        </w:rPr>
      </w:pPr>
      <w:r>
        <w:rPr>
          <w:rFonts w:hint="default"/>
          <w:szCs w:val="24"/>
        </w:rPr>
        <w:t>（17）《关于督促化工企业切实做好几项安全环保重点工作的紧急通知》（安监总危化〔2006〕10号）。</w:t>
      </w:r>
    </w:p>
    <w:p>
      <w:pPr>
        <w:pStyle w:val="2"/>
        <w:ind w:firstLine="480"/>
        <w:rPr>
          <w:rFonts w:hint="default"/>
          <w:szCs w:val="24"/>
        </w:rPr>
      </w:pPr>
      <w:r>
        <w:rPr>
          <w:rFonts w:hint="default"/>
          <w:szCs w:val="24"/>
        </w:rPr>
        <w:t>（18）《中华人民共和国大气污染防治法》（2018</w:t>
      </w:r>
      <w:r>
        <w:rPr>
          <w:szCs w:val="24"/>
        </w:rPr>
        <w:t>年修订</w:t>
      </w:r>
      <w:r>
        <w:rPr>
          <w:rFonts w:hint="default"/>
          <w:szCs w:val="24"/>
        </w:rPr>
        <w:t>）；</w:t>
      </w:r>
    </w:p>
    <w:p>
      <w:pPr>
        <w:pStyle w:val="2"/>
        <w:ind w:firstLine="480"/>
        <w:rPr>
          <w:rFonts w:hint="default"/>
          <w:szCs w:val="24"/>
        </w:rPr>
      </w:pPr>
      <w:r>
        <w:rPr>
          <w:rFonts w:hint="default"/>
          <w:szCs w:val="24"/>
        </w:rPr>
        <w:t>（19）《中华人民共和国水污染防治法》（2008年6月1日实施）；</w:t>
      </w:r>
    </w:p>
    <w:p>
      <w:pPr>
        <w:pStyle w:val="2"/>
        <w:ind w:firstLine="480"/>
        <w:rPr>
          <w:rFonts w:hint="default"/>
          <w:szCs w:val="24"/>
        </w:rPr>
      </w:pPr>
      <w:r>
        <w:rPr>
          <w:rFonts w:hint="default"/>
          <w:szCs w:val="24"/>
        </w:rPr>
        <w:t>（20）《中华人民共和国固体废物污染环境防治法》（2016</w:t>
      </w:r>
      <w:r>
        <w:rPr>
          <w:szCs w:val="24"/>
        </w:rPr>
        <w:t>年修订</w:t>
      </w:r>
      <w:r>
        <w:rPr>
          <w:rFonts w:hint="default"/>
          <w:szCs w:val="24"/>
        </w:rPr>
        <w:t>）；</w:t>
      </w:r>
    </w:p>
    <w:p>
      <w:pPr>
        <w:pStyle w:val="2"/>
        <w:ind w:firstLine="480"/>
        <w:rPr>
          <w:rFonts w:hint="default"/>
          <w:szCs w:val="24"/>
        </w:rPr>
      </w:pPr>
      <w:r>
        <w:rPr>
          <w:rFonts w:hint="default"/>
          <w:szCs w:val="24"/>
        </w:rPr>
        <w:t>（21）《危险化学品安全管理条例》（2011年12月1日实施）；</w:t>
      </w:r>
    </w:p>
    <w:p>
      <w:pPr>
        <w:pStyle w:val="2"/>
        <w:ind w:firstLine="480"/>
        <w:rPr>
          <w:rFonts w:hint="default"/>
          <w:szCs w:val="24"/>
        </w:rPr>
      </w:pPr>
      <w:r>
        <w:rPr>
          <w:rFonts w:hint="default"/>
          <w:szCs w:val="24"/>
        </w:rPr>
        <w:t>（22）《危险化学品名录（2015年版）》（2015年5月1日起实施）。</w:t>
      </w:r>
    </w:p>
    <w:p>
      <w:pPr>
        <w:autoSpaceDE w:val="0"/>
        <w:autoSpaceDN w:val="0"/>
        <w:adjustRightInd w:val="0"/>
        <w:snapToGrid w:val="0"/>
        <w:spacing w:beforeLines="100" w:afterLines="50" w:line="360" w:lineRule="auto"/>
        <w:jc w:val="left"/>
        <w:outlineLvl w:val="0"/>
        <w:rPr>
          <w:b/>
          <w:bCs/>
          <w:sz w:val="24"/>
        </w:rPr>
      </w:pPr>
      <w:bookmarkStart w:id="10" w:name="_Toc10994"/>
      <w:r>
        <w:rPr>
          <w:b/>
          <w:bCs/>
          <w:sz w:val="24"/>
        </w:rPr>
        <w:t>2.2.2 导则、标准</w:t>
      </w:r>
      <w:bookmarkEnd w:id="8"/>
      <w:bookmarkEnd w:id="9"/>
      <w:r>
        <w:rPr>
          <w:b/>
          <w:bCs/>
          <w:sz w:val="24"/>
        </w:rPr>
        <w:t>、技术规范</w:t>
      </w:r>
      <w:bookmarkEnd w:id="10"/>
    </w:p>
    <w:p>
      <w:pPr>
        <w:pStyle w:val="2"/>
        <w:ind w:firstLine="480"/>
        <w:rPr>
          <w:rFonts w:hint="default"/>
          <w:color w:val="000000"/>
          <w:szCs w:val="24"/>
        </w:rPr>
      </w:pPr>
      <w:bookmarkStart w:id="11" w:name="_Toc2864"/>
      <w:bookmarkStart w:id="12" w:name="_Toc6441"/>
      <w:r>
        <w:rPr>
          <w:rFonts w:hint="default"/>
          <w:color w:val="000000"/>
          <w:szCs w:val="24"/>
        </w:rPr>
        <w:t>（1）《建设项目环境风险评价技术导则》（HJ169-20</w:t>
      </w:r>
      <w:r>
        <w:rPr>
          <w:color w:val="000000"/>
          <w:szCs w:val="24"/>
        </w:rPr>
        <w:t>18</w:t>
      </w:r>
      <w:r>
        <w:rPr>
          <w:rFonts w:hint="default"/>
          <w:color w:val="000000"/>
          <w:szCs w:val="24"/>
        </w:rPr>
        <w:t>）；</w:t>
      </w:r>
    </w:p>
    <w:p>
      <w:pPr>
        <w:pStyle w:val="2"/>
        <w:ind w:firstLine="480"/>
        <w:rPr>
          <w:rFonts w:hint="default"/>
          <w:color w:val="000000"/>
          <w:szCs w:val="24"/>
        </w:rPr>
      </w:pPr>
      <w:r>
        <w:rPr>
          <w:rFonts w:hint="default"/>
          <w:color w:val="000000"/>
          <w:szCs w:val="24"/>
        </w:rPr>
        <w:t>（2）</w:t>
      </w:r>
      <w:r>
        <w:rPr>
          <w:rFonts w:hint="default"/>
          <w:color w:val="000000"/>
          <w:szCs w:val="24"/>
          <w:lang w:val="zh-CN"/>
        </w:rPr>
        <w:t>《企业突发环境事件风险分级方法》（HJ 941-2018）；</w:t>
      </w:r>
    </w:p>
    <w:p>
      <w:pPr>
        <w:pStyle w:val="2"/>
        <w:ind w:firstLine="480"/>
        <w:rPr>
          <w:rFonts w:hint="default"/>
          <w:color w:val="000000"/>
          <w:szCs w:val="24"/>
        </w:rPr>
      </w:pPr>
      <w:r>
        <w:rPr>
          <w:rFonts w:hint="default"/>
          <w:color w:val="000000"/>
          <w:szCs w:val="24"/>
        </w:rPr>
        <w:t>（3）《危险化学品重大危险源辨识》（GB18218-2018）；</w:t>
      </w:r>
    </w:p>
    <w:p>
      <w:pPr>
        <w:pStyle w:val="2"/>
        <w:ind w:firstLine="480"/>
        <w:rPr>
          <w:rFonts w:hint="default"/>
          <w:color w:val="000000"/>
          <w:szCs w:val="24"/>
        </w:rPr>
      </w:pPr>
      <w:r>
        <w:rPr>
          <w:rFonts w:hint="default"/>
          <w:color w:val="000000"/>
          <w:szCs w:val="24"/>
        </w:rPr>
        <w:t>（4）《化工建设项目环境保护设计规范》（GB50483-2009）；</w:t>
      </w:r>
    </w:p>
    <w:p>
      <w:pPr>
        <w:pStyle w:val="2"/>
        <w:ind w:firstLine="480"/>
        <w:rPr>
          <w:rFonts w:hint="default"/>
          <w:color w:val="000000"/>
          <w:szCs w:val="24"/>
        </w:rPr>
      </w:pPr>
      <w:r>
        <w:rPr>
          <w:rFonts w:hint="default"/>
          <w:color w:val="000000"/>
          <w:szCs w:val="24"/>
        </w:rPr>
        <w:t>（5）《建筑设计防火规范》（GB50016-2014）；</w:t>
      </w:r>
    </w:p>
    <w:p>
      <w:pPr>
        <w:pStyle w:val="2"/>
        <w:ind w:firstLine="480"/>
        <w:rPr>
          <w:rFonts w:hint="default"/>
          <w:color w:val="000000"/>
          <w:szCs w:val="24"/>
        </w:rPr>
      </w:pPr>
      <w:r>
        <w:rPr>
          <w:rFonts w:hint="default"/>
          <w:color w:val="000000"/>
          <w:szCs w:val="24"/>
        </w:rPr>
        <w:t>（6）《化学品分类、警示标签和警示性说明安全规程》（GB20576-GB20602）；</w:t>
      </w:r>
    </w:p>
    <w:p>
      <w:pPr>
        <w:pStyle w:val="2"/>
        <w:ind w:firstLine="480"/>
        <w:rPr>
          <w:rFonts w:hint="default"/>
          <w:color w:val="000000"/>
          <w:szCs w:val="24"/>
        </w:rPr>
      </w:pPr>
      <w:r>
        <w:rPr>
          <w:rFonts w:hint="default"/>
          <w:color w:val="000000"/>
          <w:szCs w:val="24"/>
        </w:rPr>
        <w:t>（7）《化学品毒性鉴定技术规范》（卫监督发〔2005〕272号）；</w:t>
      </w:r>
    </w:p>
    <w:p>
      <w:pPr>
        <w:pStyle w:val="2"/>
        <w:ind w:firstLine="480"/>
        <w:rPr>
          <w:rFonts w:hint="default"/>
          <w:color w:val="000000"/>
          <w:szCs w:val="24"/>
        </w:rPr>
      </w:pPr>
      <w:r>
        <w:rPr>
          <w:rFonts w:hint="default"/>
          <w:color w:val="000000"/>
          <w:szCs w:val="24"/>
        </w:rPr>
        <w:t>（8）《地表水环境质量标准》（GB3838-2002）；</w:t>
      </w:r>
    </w:p>
    <w:p>
      <w:pPr>
        <w:pStyle w:val="2"/>
        <w:ind w:firstLine="480"/>
        <w:rPr>
          <w:rFonts w:hint="default"/>
          <w:color w:val="000000"/>
          <w:szCs w:val="24"/>
        </w:rPr>
      </w:pPr>
      <w:r>
        <w:rPr>
          <w:rFonts w:hint="default"/>
          <w:color w:val="000000"/>
          <w:szCs w:val="24"/>
        </w:rPr>
        <w:t>（9）《地下水质量标准》（GB/T14848-</w:t>
      </w:r>
      <w:r>
        <w:rPr>
          <w:color w:val="000000"/>
          <w:szCs w:val="24"/>
        </w:rPr>
        <w:t>2017</w:t>
      </w:r>
      <w:r>
        <w:rPr>
          <w:rFonts w:hint="default"/>
          <w:color w:val="000000"/>
          <w:szCs w:val="24"/>
        </w:rPr>
        <w:t>）；</w:t>
      </w:r>
    </w:p>
    <w:p>
      <w:pPr>
        <w:pStyle w:val="2"/>
        <w:ind w:firstLine="480"/>
        <w:rPr>
          <w:rFonts w:hint="default"/>
          <w:color w:val="000000"/>
          <w:szCs w:val="24"/>
        </w:rPr>
      </w:pPr>
      <w:r>
        <w:rPr>
          <w:rFonts w:hint="default"/>
          <w:color w:val="000000"/>
          <w:szCs w:val="24"/>
        </w:rPr>
        <w:t>（10）《环境空气质量标准》（GB3095-2012）；</w:t>
      </w:r>
    </w:p>
    <w:p>
      <w:pPr>
        <w:pStyle w:val="2"/>
        <w:ind w:firstLine="480"/>
        <w:rPr>
          <w:rFonts w:hint="default"/>
          <w:color w:val="000000"/>
          <w:szCs w:val="24"/>
        </w:rPr>
      </w:pPr>
      <w:r>
        <w:rPr>
          <w:rFonts w:hint="default"/>
          <w:color w:val="000000"/>
          <w:szCs w:val="24"/>
        </w:rPr>
        <w:t>（11）《大气污染物综合排放标准》（GB16297-1996）；</w:t>
      </w:r>
    </w:p>
    <w:p>
      <w:pPr>
        <w:pStyle w:val="2"/>
        <w:ind w:firstLine="480"/>
        <w:rPr>
          <w:rFonts w:hint="default"/>
          <w:color w:val="000000"/>
          <w:szCs w:val="24"/>
        </w:rPr>
      </w:pPr>
      <w:r>
        <w:rPr>
          <w:rFonts w:hint="default"/>
          <w:color w:val="000000"/>
          <w:szCs w:val="24"/>
        </w:rPr>
        <w:t>（12）《污水综合排放标准》（GB8978-1996）；</w:t>
      </w:r>
    </w:p>
    <w:p>
      <w:pPr>
        <w:pStyle w:val="2"/>
        <w:ind w:firstLine="480"/>
        <w:rPr>
          <w:rFonts w:hint="default"/>
          <w:color w:val="000000"/>
          <w:szCs w:val="24"/>
        </w:rPr>
      </w:pPr>
      <w:r>
        <w:rPr>
          <w:rFonts w:hint="default"/>
          <w:color w:val="000000"/>
          <w:szCs w:val="24"/>
        </w:rPr>
        <w:t>（13）《危险废物贮存污染控制标准》（GB18597-2001）；</w:t>
      </w:r>
    </w:p>
    <w:p>
      <w:pPr>
        <w:pStyle w:val="2"/>
        <w:ind w:firstLine="480"/>
        <w:rPr>
          <w:rFonts w:hint="default"/>
          <w:color w:val="000000"/>
          <w:szCs w:val="24"/>
        </w:rPr>
      </w:pPr>
      <w:r>
        <w:rPr>
          <w:rFonts w:hint="default"/>
          <w:color w:val="000000"/>
          <w:szCs w:val="24"/>
        </w:rPr>
        <w:t>（14）《事故状态下水体污染物的预防与控制技术要求》（Q/SY1190-2005）。</w:t>
      </w:r>
    </w:p>
    <w:p>
      <w:pPr>
        <w:autoSpaceDE w:val="0"/>
        <w:autoSpaceDN w:val="0"/>
        <w:adjustRightInd w:val="0"/>
        <w:snapToGrid w:val="0"/>
        <w:spacing w:beforeLines="100" w:afterLines="50" w:line="360" w:lineRule="auto"/>
        <w:jc w:val="left"/>
        <w:outlineLvl w:val="0"/>
        <w:rPr>
          <w:b/>
          <w:bCs/>
          <w:sz w:val="24"/>
        </w:rPr>
      </w:pPr>
      <w:bookmarkStart w:id="13" w:name="_Toc19618"/>
      <w:r>
        <w:rPr>
          <w:b/>
          <w:bCs/>
          <w:sz w:val="24"/>
        </w:rPr>
        <w:t>2.2.3</w:t>
      </w:r>
      <w:bookmarkEnd w:id="11"/>
      <w:bookmarkEnd w:id="12"/>
      <w:r>
        <w:rPr>
          <w:b/>
          <w:bCs/>
          <w:sz w:val="24"/>
        </w:rPr>
        <w:t>相关资料</w:t>
      </w:r>
      <w:bookmarkEnd w:id="13"/>
    </w:p>
    <w:p>
      <w:pPr>
        <w:pStyle w:val="2"/>
        <w:ind w:firstLine="480"/>
        <w:rPr>
          <w:rFonts w:hint="default"/>
          <w:color w:val="000000"/>
          <w:szCs w:val="24"/>
        </w:rPr>
      </w:pPr>
      <w:r>
        <w:rPr>
          <w:rFonts w:hint="default"/>
          <w:color w:val="000000"/>
          <w:szCs w:val="24"/>
        </w:rPr>
        <w:t>（</w:t>
      </w:r>
      <w:r>
        <w:rPr>
          <w:color w:val="000000"/>
          <w:szCs w:val="24"/>
        </w:rPr>
        <w:t>1</w:t>
      </w:r>
      <w:r>
        <w:rPr>
          <w:rFonts w:hint="default"/>
          <w:color w:val="000000"/>
          <w:szCs w:val="24"/>
        </w:rPr>
        <w:t>）《</w:t>
      </w:r>
      <w:r>
        <w:rPr>
          <w:color w:val="000000"/>
          <w:szCs w:val="24"/>
        </w:rPr>
        <w:t>南昌</w:t>
      </w:r>
      <w:r>
        <w:rPr>
          <w:rFonts w:hint="default"/>
          <w:color w:val="000000"/>
          <w:szCs w:val="24"/>
        </w:rPr>
        <w:t>市突发环境事件应急预案》；</w:t>
      </w:r>
    </w:p>
    <w:p>
      <w:pPr>
        <w:pStyle w:val="2"/>
        <w:rPr>
          <w:rFonts w:hint="default"/>
          <w:color w:val="000000"/>
          <w:szCs w:val="24"/>
        </w:rPr>
      </w:pPr>
      <w:r>
        <w:rPr>
          <w:rFonts w:hint="default"/>
          <w:color w:val="000000"/>
          <w:szCs w:val="24"/>
        </w:rPr>
        <w:t>（</w:t>
      </w:r>
      <w:r>
        <w:rPr>
          <w:rFonts w:hint="eastAsia"/>
          <w:color w:val="000000"/>
          <w:szCs w:val="24"/>
          <w:lang w:val="en-US" w:eastAsia="zh-CN"/>
        </w:rPr>
        <w:t>2</w:t>
      </w:r>
      <w:r>
        <w:rPr>
          <w:rFonts w:hint="default"/>
          <w:color w:val="000000"/>
          <w:szCs w:val="24"/>
        </w:rPr>
        <w:t>）其他相关的法律、法规、规章和标准。</w:t>
      </w:r>
    </w:p>
    <w:p>
      <w:pPr>
        <w:pStyle w:val="2"/>
        <w:ind w:firstLine="480"/>
        <w:rPr>
          <w:rFonts w:hint="default"/>
          <w:color w:val="000000"/>
          <w:szCs w:val="24"/>
        </w:rPr>
      </w:pPr>
      <w:r>
        <w:rPr>
          <w:rFonts w:hint="default"/>
          <w:color w:val="000000"/>
          <w:szCs w:val="24"/>
        </w:rPr>
        <w:t>其他相关的法律、法规、规章和标准。以上凡不注明日期的引用文件，其有效版本适用于本预案。</w:t>
      </w:r>
    </w:p>
    <w:p>
      <w:pPr>
        <w:autoSpaceDE w:val="0"/>
        <w:autoSpaceDN w:val="0"/>
        <w:adjustRightInd w:val="0"/>
        <w:snapToGrid w:val="0"/>
        <w:spacing w:beforeLines="100" w:afterLines="50" w:line="360" w:lineRule="auto"/>
        <w:jc w:val="left"/>
        <w:outlineLvl w:val="0"/>
        <w:rPr>
          <w:b/>
          <w:bCs/>
          <w:sz w:val="24"/>
        </w:rPr>
      </w:pPr>
      <w:bookmarkStart w:id="14" w:name="_Toc21711"/>
      <w:r>
        <w:rPr>
          <w:b/>
          <w:bCs/>
          <w:sz w:val="24"/>
        </w:rPr>
        <w:t>2.3 企业突发环境事件风险评估程序</w:t>
      </w:r>
      <w:bookmarkEnd w:id="14"/>
    </w:p>
    <w:p>
      <w:pPr>
        <w:pStyle w:val="2"/>
        <w:ind w:firstLine="480"/>
        <w:rPr>
          <w:rFonts w:hint="default"/>
          <w:color w:val="000000"/>
          <w:szCs w:val="24"/>
        </w:rPr>
      </w:pPr>
      <w:r>
        <w:rPr>
          <w:rFonts w:hint="default"/>
          <w:color w:val="000000"/>
          <w:szCs w:val="24"/>
        </w:rPr>
        <w:t>企业突发环境事件风险评估程序如下图2-1所示。</w:t>
      </w:r>
    </w:p>
    <w:p>
      <w:pPr>
        <w:autoSpaceDE w:val="0"/>
        <w:autoSpaceDN w:val="0"/>
        <w:adjustRightInd w:val="0"/>
        <w:spacing w:line="360" w:lineRule="auto"/>
        <w:ind w:firstLine="480" w:firstLineChars="200"/>
        <w:jc w:val="center"/>
        <w:rPr>
          <w:b/>
          <w:bCs/>
          <w:color w:val="000000"/>
          <w:szCs w:val="21"/>
        </w:rPr>
      </w:pPr>
      <w:r>
        <w:rPr>
          <w:color w:val="444444"/>
          <w:sz w:val="24"/>
          <w:shd w:val="clear" w:color="auto" w:fill="FFFFFF"/>
        </w:rPr>
        <w:drawing>
          <wp:inline distT="0" distB="0" distL="114300" distR="114300">
            <wp:extent cx="4833620" cy="4180840"/>
            <wp:effectExtent l="0" t="0" r="5080" b="1016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6" cstate="print"/>
                    <a:srcRect t="258" r="1880" b="6976"/>
                    <a:stretch>
                      <a:fillRect/>
                    </a:stretch>
                  </pic:blipFill>
                  <pic:spPr>
                    <a:xfrm>
                      <a:off x="0" y="0"/>
                      <a:ext cx="4833620" cy="4180840"/>
                    </a:xfrm>
                    <a:prstGeom prst="rect">
                      <a:avLst/>
                    </a:prstGeom>
                    <a:noFill/>
                    <a:ln>
                      <a:noFill/>
                    </a:ln>
                  </pic:spPr>
                </pic:pic>
              </a:graphicData>
            </a:graphic>
          </wp:inline>
        </w:drawing>
      </w:r>
      <w:r>
        <w:rPr>
          <w:b/>
          <w:bCs/>
          <w:color w:val="000000"/>
          <w:szCs w:val="21"/>
        </w:rPr>
        <w:t>图2-1   企业突发环境事件风险等级划分流程示意图</w:t>
      </w:r>
    </w:p>
    <w:p>
      <w:r>
        <w:br w:type="page"/>
      </w:r>
    </w:p>
    <w:p>
      <w:pPr>
        <w:autoSpaceDE w:val="0"/>
        <w:autoSpaceDN w:val="0"/>
        <w:adjustRightInd w:val="0"/>
        <w:snapToGrid w:val="0"/>
        <w:spacing w:beforeLines="100" w:afterLines="50" w:line="360" w:lineRule="auto"/>
        <w:jc w:val="center"/>
        <w:outlineLvl w:val="0"/>
        <w:rPr>
          <w:b/>
          <w:bCs/>
          <w:sz w:val="30"/>
          <w:szCs w:val="30"/>
        </w:rPr>
      </w:pPr>
      <w:bookmarkStart w:id="15" w:name="_Toc3711"/>
      <w:r>
        <w:rPr>
          <w:b/>
          <w:bCs/>
          <w:sz w:val="30"/>
          <w:szCs w:val="30"/>
        </w:rPr>
        <w:t>3、准备资料与环境风险识别</w:t>
      </w:r>
      <w:bookmarkEnd w:id="15"/>
    </w:p>
    <w:p>
      <w:pPr>
        <w:autoSpaceDE w:val="0"/>
        <w:autoSpaceDN w:val="0"/>
        <w:adjustRightInd w:val="0"/>
        <w:snapToGrid w:val="0"/>
        <w:spacing w:beforeLines="100" w:afterLines="50" w:line="360" w:lineRule="auto"/>
        <w:jc w:val="left"/>
        <w:outlineLvl w:val="0"/>
        <w:rPr>
          <w:b/>
          <w:bCs/>
          <w:sz w:val="24"/>
        </w:rPr>
      </w:pPr>
      <w:bookmarkStart w:id="16" w:name="_Toc23800"/>
      <w:r>
        <w:rPr>
          <w:b/>
          <w:bCs/>
          <w:sz w:val="24"/>
        </w:rPr>
        <w:t>3.1 企业信息</w:t>
      </w:r>
      <w:bookmarkEnd w:id="16"/>
    </w:p>
    <w:p>
      <w:pPr>
        <w:spacing w:line="360" w:lineRule="auto"/>
        <w:ind w:firstLine="480" w:firstLineChars="200"/>
        <w:rPr>
          <w:sz w:val="24"/>
        </w:rPr>
      </w:pPr>
      <w:r>
        <w:rPr>
          <w:rFonts w:hint="eastAsia"/>
          <w:color w:val="000000"/>
          <w:sz w:val="24"/>
        </w:rPr>
        <w:t>中国</w:t>
      </w:r>
      <w:r>
        <w:rPr>
          <w:rFonts w:hint="eastAsia"/>
          <w:color w:val="000000"/>
          <w:sz w:val="24"/>
          <w:lang w:val="en-US" w:eastAsia="zh-CN"/>
        </w:rPr>
        <w:t>石油天然气</w:t>
      </w:r>
      <w:r>
        <w:rPr>
          <w:rFonts w:hint="eastAsia"/>
          <w:color w:val="000000"/>
          <w:sz w:val="24"/>
        </w:rPr>
        <w:t>股份有限公司江西南昌</w:t>
      </w:r>
      <w:r>
        <w:rPr>
          <w:rFonts w:hint="eastAsia"/>
          <w:color w:val="000000"/>
          <w:sz w:val="24"/>
          <w:lang w:val="en-US" w:eastAsia="zh-CN"/>
        </w:rPr>
        <w:t>双港大道</w:t>
      </w:r>
      <w:r>
        <w:rPr>
          <w:rFonts w:hint="eastAsia"/>
          <w:color w:val="000000"/>
          <w:sz w:val="24"/>
        </w:rPr>
        <w:t>加油站</w:t>
      </w:r>
      <w:r>
        <w:rPr>
          <w:sz w:val="24"/>
        </w:rPr>
        <w:t>基本信息详见表3-1。</w:t>
      </w:r>
    </w:p>
    <w:p>
      <w:pPr>
        <w:jc w:val="center"/>
        <w:rPr>
          <w:b/>
          <w:bCs/>
          <w:szCs w:val="21"/>
        </w:rPr>
      </w:pPr>
      <w:r>
        <w:rPr>
          <w:b/>
          <w:bCs/>
          <w:szCs w:val="21"/>
        </w:rPr>
        <w:t>表3-1   公司基本信息情况一览表</w:t>
      </w:r>
    </w:p>
    <w:tbl>
      <w:tblPr>
        <w:tblStyle w:val="14"/>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960"/>
        <w:gridCol w:w="450"/>
        <w:gridCol w:w="1236"/>
        <w:gridCol w:w="748"/>
        <w:gridCol w:w="21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1951" w:type="dxa"/>
            <w:vAlign w:val="center"/>
          </w:tcPr>
          <w:p>
            <w:pPr>
              <w:jc w:val="center"/>
              <w:rPr>
                <w:szCs w:val="21"/>
              </w:rPr>
            </w:pPr>
            <w:r>
              <w:rPr>
                <w:szCs w:val="21"/>
              </w:rPr>
              <w:t>企业名称</w:t>
            </w:r>
          </w:p>
        </w:tc>
        <w:tc>
          <w:tcPr>
            <w:tcW w:w="6571" w:type="dxa"/>
            <w:gridSpan w:val="5"/>
            <w:vAlign w:val="center"/>
          </w:tcPr>
          <w:p>
            <w:pPr>
              <w:jc w:val="center"/>
              <w:rPr>
                <w:szCs w:val="21"/>
              </w:rPr>
            </w:pPr>
            <w:r>
              <w:rPr>
                <w:rFonts w:hint="eastAsia"/>
                <w:color w:val="000000"/>
                <w:szCs w:val="21"/>
              </w:rPr>
              <w:t>中国</w:t>
            </w:r>
            <w:r>
              <w:rPr>
                <w:rFonts w:hint="eastAsia"/>
                <w:color w:val="000000"/>
                <w:sz w:val="21"/>
                <w:szCs w:val="21"/>
                <w:lang w:val="en-US" w:eastAsia="zh-CN"/>
              </w:rPr>
              <w:t>石油天然气</w:t>
            </w:r>
            <w:r>
              <w:rPr>
                <w:rFonts w:hint="eastAsia"/>
                <w:color w:val="000000"/>
                <w:sz w:val="21"/>
                <w:szCs w:val="21"/>
              </w:rPr>
              <w:t>股份有限公司江西南昌</w:t>
            </w:r>
            <w:r>
              <w:rPr>
                <w:rFonts w:hint="eastAsia"/>
                <w:color w:val="000000"/>
                <w:sz w:val="21"/>
                <w:szCs w:val="21"/>
                <w:lang w:val="en-US" w:eastAsia="zh-CN"/>
              </w:rPr>
              <w:t>双港大道</w:t>
            </w:r>
            <w:r>
              <w:rPr>
                <w:rFonts w:hint="eastAsia"/>
                <w:color w:val="000000"/>
                <w:sz w:val="21"/>
                <w:szCs w:val="21"/>
              </w:rPr>
              <w:t>加油站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szCs w:val="21"/>
              </w:rPr>
            </w:pPr>
            <w:r>
              <w:rPr>
                <w:szCs w:val="21"/>
              </w:rPr>
              <w:t>法人代表</w:t>
            </w:r>
          </w:p>
        </w:tc>
        <w:tc>
          <w:tcPr>
            <w:tcW w:w="6571" w:type="dxa"/>
            <w:gridSpan w:val="5"/>
            <w:vAlign w:val="center"/>
          </w:tcPr>
          <w:p>
            <w:pPr>
              <w:jc w:val="center"/>
              <w:rPr>
                <w:rFonts w:hint="default" w:eastAsia="宋体"/>
                <w:szCs w:val="21"/>
                <w:lang w:val="en-US" w:eastAsia="zh-CN"/>
              </w:rPr>
            </w:pPr>
            <w:r>
              <w:rPr>
                <w:rStyle w:val="39"/>
                <w:rFonts w:hint="eastAsia" w:ascii="宋体"/>
                <w:color w:val="000000"/>
                <w:kern w:val="0"/>
                <w:sz w:val="21"/>
                <w:szCs w:val="21"/>
              </w:rPr>
              <w:t>喻晓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szCs w:val="21"/>
              </w:rPr>
            </w:pPr>
            <w:r>
              <w:rPr>
                <w:szCs w:val="21"/>
              </w:rPr>
              <w:t>组织机构代码</w:t>
            </w:r>
          </w:p>
        </w:tc>
        <w:tc>
          <w:tcPr>
            <w:tcW w:w="6571" w:type="dxa"/>
            <w:gridSpan w:val="5"/>
            <w:vAlign w:val="center"/>
          </w:tcPr>
          <w:p>
            <w:pPr>
              <w:jc w:val="center"/>
              <w:rPr>
                <w:szCs w:val="21"/>
              </w:rPr>
            </w:pPr>
            <w:r>
              <w:rPr>
                <w:rFonts w:hint="default" w:ascii="Times New Roman" w:hAnsi="Times New Roman" w:eastAsia="微软雅黑" w:cs="Times New Roman"/>
                <w:i w:val="0"/>
                <w:caps w:val="0"/>
                <w:color w:val="333333"/>
                <w:spacing w:val="0"/>
                <w:sz w:val="24"/>
                <w:szCs w:val="24"/>
                <w:shd w:val="clear" w:fill="FFFFFF"/>
              </w:rPr>
              <w:t>91360108586552573N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szCs w:val="21"/>
              </w:rPr>
            </w:pPr>
            <w:r>
              <w:rPr>
                <w:szCs w:val="21"/>
              </w:rPr>
              <w:t>建站时间</w:t>
            </w:r>
          </w:p>
        </w:tc>
        <w:tc>
          <w:tcPr>
            <w:tcW w:w="2410" w:type="dxa"/>
            <w:gridSpan w:val="2"/>
            <w:vAlign w:val="center"/>
          </w:tcPr>
          <w:p>
            <w:pPr>
              <w:jc w:val="center"/>
              <w:rPr>
                <w:szCs w:val="21"/>
              </w:rPr>
            </w:pPr>
            <w:r>
              <w:rPr>
                <w:rFonts w:hint="default" w:ascii="Times New Roman" w:hAnsi="Times New Roman" w:cs="Times New Roman"/>
                <w:bCs/>
                <w:sz w:val="24"/>
                <w:szCs w:val="24"/>
                <w:lang w:val="en-US" w:eastAsia="zh-CN"/>
              </w:rPr>
              <w:t>2010</w:t>
            </w:r>
            <w:r>
              <w:rPr>
                <w:rFonts w:hint="default" w:ascii="Times New Roman" w:hAnsi="Times New Roman" w:cs="Times New Roman"/>
                <w:bCs/>
                <w:sz w:val="24"/>
                <w:szCs w:val="24"/>
              </w:rPr>
              <w:t>年</w:t>
            </w:r>
            <w:r>
              <w:rPr>
                <w:rFonts w:hint="eastAsia" w:cs="Times New Roman"/>
                <w:bCs/>
                <w:sz w:val="24"/>
                <w:szCs w:val="24"/>
                <w:lang w:val="en-US" w:eastAsia="zh-CN"/>
              </w:rPr>
              <w:t>2</w:t>
            </w:r>
            <w:r>
              <w:rPr>
                <w:rFonts w:hint="default" w:ascii="Times New Roman" w:hAnsi="Times New Roman" w:cs="Times New Roman"/>
                <w:bCs/>
                <w:sz w:val="24"/>
                <w:szCs w:val="24"/>
              </w:rPr>
              <w:t>月</w:t>
            </w:r>
          </w:p>
        </w:tc>
        <w:tc>
          <w:tcPr>
            <w:tcW w:w="1984" w:type="dxa"/>
            <w:gridSpan w:val="2"/>
            <w:vAlign w:val="center"/>
          </w:tcPr>
          <w:p>
            <w:pPr>
              <w:jc w:val="center"/>
              <w:rPr>
                <w:szCs w:val="21"/>
              </w:rPr>
            </w:pPr>
            <w:r>
              <w:rPr>
                <w:szCs w:val="21"/>
              </w:rPr>
              <w:t>加油站成立时间</w:t>
            </w:r>
          </w:p>
        </w:tc>
        <w:tc>
          <w:tcPr>
            <w:tcW w:w="2177" w:type="dxa"/>
            <w:vAlign w:val="center"/>
          </w:tcPr>
          <w:p>
            <w:pPr>
              <w:jc w:val="center"/>
              <w:rPr>
                <w:bCs/>
                <w:szCs w:val="21"/>
              </w:rPr>
            </w:pPr>
            <w:r>
              <w:rPr>
                <w:rFonts w:hint="default" w:ascii="Times New Roman" w:hAnsi="Times New Roman" w:cs="Times New Roman"/>
                <w:bCs/>
                <w:sz w:val="24"/>
                <w:szCs w:val="24"/>
                <w:lang w:val="en-US" w:eastAsia="zh-CN"/>
              </w:rPr>
              <w:t>2010</w:t>
            </w:r>
            <w:r>
              <w:rPr>
                <w:rFonts w:hint="default" w:ascii="Times New Roman" w:hAnsi="Times New Roman" w:cs="Times New Roman"/>
                <w:bCs/>
                <w:sz w:val="24"/>
                <w:szCs w:val="24"/>
              </w:rPr>
              <w:t>年</w:t>
            </w:r>
            <w:r>
              <w:rPr>
                <w:rFonts w:hint="eastAsia" w:cs="Times New Roman"/>
                <w:bCs/>
                <w:sz w:val="24"/>
                <w:szCs w:val="24"/>
                <w:lang w:val="en-US" w:eastAsia="zh-CN"/>
              </w:rPr>
              <w:t>2</w:t>
            </w:r>
            <w:r>
              <w:rPr>
                <w:rFonts w:hint="default" w:ascii="Times New Roman" w:hAnsi="Times New Roman" w:cs="Times New Roman"/>
                <w:bCs/>
                <w:sz w:val="24"/>
                <w:szCs w:val="24"/>
              </w:rPr>
              <w:t>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szCs w:val="21"/>
              </w:rPr>
            </w:pPr>
            <w:r>
              <w:rPr>
                <w:szCs w:val="21"/>
              </w:rPr>
              <w:t>联系人</w:t>
            </w:r>
          </w:p>
        </w:tc>
        <w:tc>
          <w:tcPr>
            <w:tcW w:w="2410" w:type="dxa"/>
            <w:gridSpan w:val="2"/>
            <w:vAlign w:val="center"/>
          </w:tcPr>
          <w:p>
            <w:pPr>
              <w:jc w:val="center"/>
              <w:rPr>
                <w:szCs w:val="21"/>
              </w:rPr>
            </w:pPr>
            <w:r>
              <w:rPr>
                <w:rStyle w:val="39"/>
                <w:rFonts w:hint="eastAsia" w:ascii="宋体"/>
                <w:color w:val="000000"/>
                <w:kern w:val="0"/>
                <w:sz w:val="21"/>
                <w:szCs w:val="21"/>
              </w:rPr>
              <w:t>李诵剑</w:t>
            </w:r>
          </w:p>
        </w:tc>
        <w:tc>
          <w:tcPr>
            <w:tcW w:w="1984" w:type="dxa"/>
            <w:gridSpan w:val="2"/>
            <w:vAlign w:val="center"/>
          </w:tcPr>
          <w:p>
            <w:pPr>
              <w:jc w:val="center"/>
              <w:rPr>
                <w:szCs w:val="21"/>
              </w:rPr>
            </w:pPr>
            <w:r>
              <w:rPr>
                <w:szCs w:val="21"/>
              </w:rPr>
              <w:t>联系电话</w:t>
            </w:r>
          </w:p>
        </w:tc>
        <w:tc>
          <w:tcPr>
            <w:tcW w:w="2177" w:type="dxa"/>
            <w:vAlign w:val="center"/>
          </w:tcPr>
          <w:p>
            <w:pPr>
              <w:jc w:val="center"/>
              <w:rPr>
                <w:rFonts w:hint="default" w:ascii="Times New Roman" w:hAnsi="Times New Roman" w:cs="Times New Roman"/>
                <w:sz w:val="24"/>
                <w:szCs w:val="24"/>
              </w:rPr>
            </w:pPr>
            <w:r>
              <w:rPr>
                <w:rStyle w:val="39"/>
                <w:rFonts w:hint="default" w:ascii="Times New Roman" w:hAnsi="Times New Roman" w:cs="Times New Roman"/>
                <w:color w:val="000000"/>
                <w:kern w:val="0"/>
                <w:sz w:val="24"/>
                <w:szCs w:val="24"/>
              </w:rPr>
              <w:t>15180166013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szCs w:val="21"/>
              </w:rPr>
            </w:pPr>
            <w:r>
              <w:rPr>
                <w:szCs w:val="21"/>
              </w:rPr>
              <w:t>传真</w:t>
            </w:r>
          </w:p>
        </w:tc>
        <w:tc>
          <w:tcPr>
            <w:tcW w:w="2410" w:type="dxa"/>
            <w:gridSpan w:val="2"/>
            <w:vAlign w:val="center"/>
          </w:tcPr>
          <w:p>
            <w:pPr>
              <w:jc w:val="center"/>
              <w:rPr>
                <w:bCs/>
                <w:szCs w:val="21"/>
              </w:rPr>
            </w:pPr>
          </w:p>
        </w:tc>
        <w:tc>
          <w:tcPr>
            <w:tcW w:w="1984" w:type="dxa"/>
            <w:gridSpan w:val="2"/>
            <w:vAlign w:val="center"/>
          </w:tcPr>
          <w:p>
            <w:pPr>
              <w:jc w:val="center"/>
              <w:rPr>
                <w:szCs w:val="21"/>
              </w:rPr>
            </w:pPr>
            <w:r>
              <w:rPr>
                <w:szCs w:val="21"/>
              </w:rPr>
              <w:t>邮政编码</w:t>
            </w:r>
          </w:p>
        </w:tc>
        <w:tc>
          <w:tcPr>
            <w:tcW w:w="2177" w:type="dxa"/>
            <w:vAlign w:val="center"/>
          </w:tcPr>
          <w:p>
            <w:pPr>
              <w:jc w:val="center"/>
              <w:rPr>
                <w:rFonts w:hint="default" w:ascii="Times New Roman" w:hAnsi="Times New Roman" w:cs="Times New Roman"/>
                <w:sz w:val="24"/>
                <w:szCs w:val="24"/>
              </w:rPr>
            </w:pPr>
            <w:r>
              <w:rPr>
                <w:rStyle w:val="39"/>
                <w:rFonts w:hint="default" w:ascii="Times New Roman" w:hAnsi="Times New Roman" w:cs="Times New Roman"/>
                <w:color w:val="000000"/>
                <w:kern w:val="0"/>
                <w:sz w:val="24"/>
                <w:szCs w:val="24"/>
              </w:rPr>
              <w:t>330000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exact"/>
        </w:trPr>
        <w:tc>
          <w:tcPr>
            <w:tcW w:w="1951" w:type="dxa"/>
            <w:vAlign w:val="center"/>
          </w:tcPr>
          <w:p>
            <w:pPr>
              <w:jc w:val="center"/>
              <w:rPr>
                <w:szCs w:val="21"/>
              </w:rPr>
            </w:pPr>
            <w:r>
              <w:rPr>
                <w:szCs w:val="21"/>
              </w:rPr>
              <w:t>通讯地址</w:t>
            </w:r>
          </w:p>
        </w:tc>
        <w:tc>
          <w:tcPr>
            <w:tcW w:w="6571" w:type="dxa"/>
            <w:gridSpan w:val="5"/>
            <w:vAlign w:val="center"/>
          </w:tcPr>
          <w:p>
            <w:pPr>
              <w:jc w:val="center"/>
              <w:rPr>
                <w:szCs w:val="21"/>
              </w:rPr>
            </w:pPr>
            <w:r>
              <w:rPr>
                <w:rStyle w:val="39"/>
                <w:rFonts w:hint="eastAsia" w:ascii="宋体"/>
                <w:kern w:val="0"/>
                <w:sz w:val="21"/>
                <w:szCs w:val="21"/>
              </w:rPr>
              <w:t>江西省南昌市</w:t>
            </w:r>
            <w:r>
              <w:rPr>
                <w:rStyle w:val="39"/>
                <w:rFonts w:ascii="宋体"/>
                <w:kern w:val="0"/>
                <w:sz w:val="21"/>
                <w:szCs w:val="21"/>
              </w:rPr>
              <w:t>双港大道与庐山大道交汇处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szCs w:val="21"/>
              </w:rPr>
            </w:pPr>
            <w:r>
              <w:rPr>
                <w:szCs w:val="21"/>
              </w:rPr>
              <w:t>加油站中心经度</w:t>
            </w:r>
          </w:p>
        </w:tc>
        <w:tc>
          <w:tcPr>
            <w:tcW w:w="2410" w:type="dxa"/>
            <w:gridSpan w:val="2"/>
            <w:vAlign w:val="center"/>
          </w:tcPr>
          <w:p>
            <w:pPr>
              <w:jc w:val="center"/>
              <w:rPr>
                <w:szCs w:val="21"/>
              </w:rPr>
            </w:pPr>
            <w:r>
              <w:rPr>
                <w:rStyle w:val="39"/>
                <w:rFonts w:hint="eastAsia" w:ascii="宋体" w:hAnsi="宋体"/>
                <w:kern w:val="0"/>
                <w:sz w:val="21"/>
                <w:szCs w:val="21"/>
              </w:rPr>
              <w:t>东经</w:t>
            </w:r>
            <w:r>
              <w:rPr>
                <w:rStyle w:val="39"/>
                <w:rFonts w:hint="default" w:ascii="Times New Roman" w:hAnsi="Times New Roman" w:cs="Times New Roman"/>
                <w:kern w:val="0"/>
                <w:sz w:val="24"/>
                <w:szCs w:val="24"/>
              </w:rPr>
              <w:t>E118°49′21″</w:t>
            </w:r>
          </w:p>
        </w:tc>
        <w:tc>
          <w:tcPr>
            <w:tcW w:w="1984" w:type="dxa"/>
            <w:gridSpan w:val="2"/>
            <w:vAlign w:val="center"/>
          </w:tcPr>
          <w:p>
            <w:pPr>
              <w:jc w:val="center"/>
              <w:rPr>
                <w:szCs w:val="21"/>
              </w:rPr>
            </w:pPr>
            <w:r>
              <w:rPr>
                <w:szCs w:val="21"/>
              </w:rPr>
              <w:t>加油站中心纬度</w:t>
            </w:r>
          </w:p>
        </w:tc>
        <w:tc>
          <w:tcPr>
            <w:tcW w:w="2177" w:type="dxa"/>
            <w:vAlign w:val="center"/>
          </w:tcPr>
          <w:p>
            <w:pPr>
              <w:jc w:val="center"/>
              <w:rPr>
                <w:szCs w:val="21"/>
              </w:rPr>
            </w:pPr>
            <w:r>
              <w:rPr>
                <w:rStyle w:val="39"/>
                <w:rFonts w:hint="eastAsia" w:ascii="宋体" w:hAnsi="宋体"/>
                <w:kern w:val="0"/>
                <w:sz w:val="21"/>
                <w:szCs w:val="21"/>
              </w:rPr>
              <w:t>北纬</w:t>
            </w:r>
            <w:r>
              <w:rPr>
                <w:rStyle w:val="39"/>
                <w:rFonts w:hint="default" w:ascii="Times New Roman" w:hAnsi="Times New Roman" w:cs="Times New Roman"/>
                <w:kern w:val="0"/>
                <w:sz w:val="21"/>
                <w:szCs w:val="21"/>
              </w:rPr>
              <w:t>N29°34′17″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szCs w:val="21"/>
              </w:rPr>
            </w:pPr>
            <w:r>
              <w:rPr>
                <w:szCs w:val="21"/>
              </w:rPr>
              <w:t>所属行业类别</w:t>
            </w:r>
          </w:p>
        </w:tc>
        <w:tc>
          <w:tcPr>
            <w:tcW w:w="6571" w:type="dxa"/>
            <w:gridSpan w:val="5"/>
            <w:vAlign w:val="center"/>
          </w:tcPr>
          <w:p>
            <w:pPr>
              <w:jc w:val="center"/>
              <w:rPr>
                <w:szCs w:val="21"/>
              </w:rPr>
            </w:pPr>
            <w:r>
              <w:rPr>
                <w:rFonts w:hint="eastAsia"/>
                <w:color w:val="000000"/>
                <w:szCs w:val="21"/>
              </w:rPr>
              <w:t>石化行业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exact"/>
        </w:trPr>
        <w:tc>
          <w:tcPr>
            <w:tcW w:w="1951" w:type="dxa"/>
            <w:vAlign w:val="center"/>
          </w:tcPr>
          <w:p>
            <w:pPr>
              <w:jc w:val="center"/>
              <w:rPr>
                <w:szCs w:val="21"/>
              </w:rPr>
            </w:pPr>
            <w:r>
              <w:rPr>
                <w:szCs w:val="21"/>
              </w:rPr>
              <w:t>企业规模</w:t>
            </w:r>
          </w:p>
        </w:tc>
        <w:tc>
          <w:tcPr>
            <w:tcW w:w="6571" w:type="dxa"/>
            <w:gridSpan w:val="5"/>
            <w:vAlign w:val="center"/>
          </w:tcPr>
          <w:p>
            <w:pPr>
              <w:autoSpaceDN w:val="0"/>
              <w:jc w:val="center"/>
              <w:rPr>
                <w:bCs/>
                <w:szCs w:val="21"/>
              </w:rPr>
            </w:pPr>
            <w:r>
              <w:rPr>
                <w:rFonts w:hint="eastAsia"/>
                <w:color w:val="000000"/>
                <w:szCs w:val="21"/>
              </w:rPr>
              <w:t>一共有油罐</w:t>
            </w:r>
            <w:r>
              <w:rPr>
                <w:rFonts w:hint="eastAsia"/>
                <w:color w:val="000000"/>
                <w:szCs w:val="21"/>
                <w:lang w:val="en-US" w:eastAsia="zh-CN"/>
              </w:rPr>
              <w:t>5</w:t>
            </w:r>
            <w:r>
              <w:rPr>
                <w:rFonts w:hint="eastAsia"/>
                <w:color w:val="000000"/>
                <w:szCs w:val="21"/>
              </w:rPr>
              <w:t>个，其中有汽油罐</w:t>
            </w:r>
            <w:r>
              <w:rPr>
                <w:rFonts w:hint="eastAsia"/>
                <w:color w:val="000000"/>
                <w:szCs w:val="21"/>
                <w:lang w:val="en-US" w:eastAsia="zh-CN"/>
              </w:rPr>
              <w:t>3</w:t>
            </w:r>
            <w:r>
              <w:rPr>
                <w:rFonts w:hint="eastAsia"/>
                <w:color w:val="000000"/>
                <w:szCs w:val="21"/>
              </w:rPr>
              <w:t>个，柴油罐</w:t>
            </w:r>
            <w:r>
              <w:rPr>
                <w:rFonts w:hint="eastAsia"/>
                <w:color w:val="000000"/>
                <w:szCs w:val="21"/>
                <w:lang w:val="en-US" w:eastAsia="zh-CN"/>
              </w:rPr>
              <w:t>2</w:t>
            </w:r>
            <w:r>
              <w:rPr>
                <w:rFonts w:hint="eastAsia"/>
                <w:color w:val="000000"/>
                <w:szCs w:val="21"/>
              </w:rPr>
              <w:t>个，单罐容积为30m</w:t>
            </w:r>
            <w:r>
              <w:rPr>
                <w:color w:val="000000"/>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szCs w:val="21"/>
              </w:rPr>
            </w:pPr>
            <w:r>
              <w:rPr>
                <w:szCs w:val="21"/>
              </w:rPr>
              <w:t>从业人数</w:t>
            </w:r>
          </w:p>
        </w:tc>
        <w:tc>
          <w:tcPr>
            <w:tcW w:w="1960" w:type="dxa"/>
            <w:vAlign w:val="center"/>
          </w:tcPr>
          <w:p>
            <w:pPr>
              <w:jc w:val="center"/>
              <w:rPr>
                <w:szCs w:val="21"/>
              </w:rPr>
            </w:pPr>
            <w:r>
              <w:rPr>
                <w:rFonts w:hint="eastAsia"/>
                <w:szCs w:val="21"/>
                <w:lang w:val="en-US" w:eastAsia="zh-CN"/>
              </w:rPr>
              <w:t>10</w:t>
            </w:r>
            <w:r>
              <w:rPr>
                <w:szCs w:val="21"/>
              </w:rPr>
              <w:t>人</w:t>
            </w:r>
          </w:p>
        </w:tc>
        <w:tc>
          <w:tcPr>
            <w:tcW w:w="1686" w:type="dxa"/>
            <w:gridSpan w:val="2"/>
            <w:vAlign w:val="center"/>
          </w:tcPr>
          <w:p>
            <w:pPr>
              <w:jc w:val="center"/>
              <w:rPr>
                <w:szCs w:val="21"/>
              </w:rPr>
            </w:pPr>
            <w:r>
              <w:rPr>
                <w:szCs w:val="21"/>
              </w:rPr>
              <w:t>加油站面积</w:t>
            </w:r>
          </w:p>
        </w:tc>
        <w:tc>
          <w:tcPr>
            <w:tcW w:w="2925" w:type="dxa"/>
            <w:gridSpan w:val="2"/>
            <w:vAlign w:val="center"/>
          </w:tcPr>
          <w:p>
            <w:pPr>
              <w:jc w:val="center"/>
              <w:rPr>
                <w:szCs w:val="21"/>
              </w:rPr>
            </w:pPr>
            <w:r>
              <w:rPr>
                <w:rFonts w:hint="eastAsia" w:cs="Times New Roman"/>
                <w:sz w:val="24"/>
                <w:szCs w:val="24"/>
                <w:lang w:val="en-US" w:eastAsia="zh-CN"/>
              </w:rPr>
              <w:t>6400</w:t>
            </w:r>
            <w:r>
              <w:rPr>
                <w:rFonts w:hint="default" w:ascii="Times New Roman" w:hAnsi="Times New Roman" w:cs="Times New Roman"/>
                <w:sz w:val="24"/>
                <w:szCs w:val="24"/>
              </w:rPr>
              <w:t>m</w:t>
            </w:r>
            <w:r>
              <w:rPr>
                <w:rFonts w:hint="default" w:ascii="Times New Roman" w:hAnsi="Times New Roman" w:cs="Times New Roman"/>
                <w:sz w:val="24"/>
                <w:szCs w:val="24"/>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szCs w:val="21"/>
              </w:rPr>
            </w:pPr>
            <w:r>
              <w:rPr>
                <w:szCs w:val="21"/>
              </w:rPr>
              <w:t>最新改扩建年月</w:t>
            </w:r>
          </w:p>
        </w:tc>
        <w:tc>
          <w:tcPr>
            <w:tcW w:w="6571" w:type="dxa"/>
            <w:gridSpan w:val="5"/>
            <w:vAlign w:val="center"/>
          </w:tcPr>
          <w:p>
            <w:pPr>
              <w:jc w:val="center"/>
              <w:rPr>
                <w:szCs w:val="21"/>
              </w:rPr>
            </w:pPr>
            <w:r>
              <w:rPr>
                <w:rFonts w:hint="eastAsia"/>
                <w:szCs w:val="21"/>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szCs w:val="21"/>
              </w:rPr>
            </w:pPr>
            <w:r>
              <w:rPr>
                <w:szCs w:val="21"/>
              </w:rPr>
              <w:t>历史突发环境事件</w:t>
            </w:r>
          </w:p>
        </w:tc>
        <w:tc>
          <w:tcPr>
            <w:tcW w:w="6571" w:type="dxa"/>
            <w:gridSpan w:val="5"/>
            <w:vAlign w:val="center"/>
          </w:tcPr>
          <w:p>
            <w:pPr>
              <w:jc w:val="center"/>
              <w:rPr>
                <w:szCs w:val="21"/>
              </w:rPr>
            </w:pPr>
            <w:r>
              <w:rPr>
                <w:szCs w:val="21"/>
              </w:rPr>
              <w:t>无</w:t>
            </w:r>
          </w:p>
        </w:tc>
      </w:tr>
    </w:tbl>
    <w:p>
      <w:pPr>
        <w:spacing w:line="360" w:lineRule="auto"/>
        <w:ind w:firstLine="480" w:firstLineChars="200"/>
        <w:rPr>
          <w:sz w:val="24"/>
        </w:rPr>
      </w:pPr>
      <w:r>
        <w:rPr>
          <w:sz w:val="24"/>
        </w:rPr>
        <w:t>项目周边的自然环境概况详见表3-2。</w:t>
      </w:r>
    </w:p>
    <w:p>
      <w:pPr>
        <w:jc w:val="center"/>
        <w:rPr>
          <w:b/>
          <w:bCs/>
          <w:szCs w:val="21"/>
        </w:rPr>
      </w:pPr>
      <w:r>
        <w:rPr>
          <w:b/>
          <w:bCs/>
          <w:szCs w:val="21"/>
        </w:rPr>
        <w:t>表3-2  项目周边的自然环境概况</w:t>
      </w:r>
    </w:p>
    <w:tbl>
      <w:tblPr>
        <w:tblStyle w:val="14"/>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9"/>
        <w:gridCol w:w="68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vAlign w:val="center"/>
          </w:tcPr>
          <w:p>
            <w:pPr>
              <w:jc w:val="center"/>
              <w:rPr>
                <w:spacing w:val="1"/>
                <w:kern w:val="0"/>
                <w:szCs w:val="21"/>
              </w:rPr>
            </w:pPr>
            <w:r>
              <w:rPr>
                <w:szCs w:val="21"/>
              </w:rPr>
              <w:t>地形地貌</w:t>
            </w:r>
          </w:p>
        </w:tc>
        <w:tc>
          <w:tcPr>
            <w:tcW w:w="6853" w:type="dxa"/>
            <w:vAlign w:val="center"/>
          </w:tcPr>
          <w:p>
            <w:pPr>
              <w:pStyle w:val="2"/>
              <w:spacing w:line="240" w:lineRule="auto"/>
              <w:rPr>
                <w:rFonts w:hint="eastAsia" w:ascii="宋体" w:hAnsi="宋体" w:eastAsia="宋体" w:cs="宋体"/>
                <w:sz w:val="21"/>
                <w:szCs w:val="21"/>
              </w:rPr>
            </w:pPr>
            <w:r>
              <w:rPr>
                <w:sz w:val="21"/>
                <w:szCs w:val="21"/>
              </w:rPr>
              <w:t>项目位于</w:t>
            </w:r>
            <w:r>
              <w:rPr>
                <w:rStyle w:val="39"/>
                <w:rFonts w:hint="eastAsia" w:ascii="宋体"/>
                <w:kern w:val="0"/>
                <w:sz w:val="21"/>
                <w:szCs w:val="21"/>
              </w:rPr>
              <w:t>江西省南昌市</w:t>
            </w:r>
            <w:r>
              <w:rPr>
                <w:rStyle w:val="39"/>
                <w:rFonts w:ascii="宋体"/>
                <w:kern w:val="0"/>
                <w:sz w:val="21"/>
                <w:szCs w:val="21"/>
              </w:rPr>
              <w:t>双港大道与庐山大道交汇处</w:t>
            </w:r>
            <w:r>
              <w:rPr>
                <w:sz w:val="21"/>
                <w:szCs w:val="21"/>
              </w:rPr>
              <w:t>，占地面地理坐标为</w:t>
            </w:r>
            <w:r>
              <w:rPr>
                <w:rStyle w:val="39"/>
                <w:rFonts w:hint="eastAsia" w:ascii="宋体" w:hAnsi="宋体"/>
                <w:kern w:val="0"/>
                <w:sz w:val="21"/>
                <w:szCs w:val="21"/>
              </w:rPr>
              <w:t>北纬</w:t>
            </w:r>
            <w:r>
              <w:rPr>
                <w:rStyle w:val="39"/>
                <w:rFonts w:hint="default" w:ascii="Times New Roman" w:hAnsi="Times New Roman" w:cs="Times New Roman"/>
                <w:kern w:val="0"/>
                <w:sz w:val="21"/>
                <w:szCs w:val="21"/>
              </w:rPr>
              <w:t>N29°34′17″</w:t>
            </w:r>
            <w:r>
              <w:rPr>
                <w:rStyle w:val="39"/>
                <w:rFonts w:hint="eastAsia" w:ascii="宋体" w:hAnsi="宋体"/>
                <w:kern w:val="0"/>
                <w:sz w:val="21"/>
                <w:szCs w:val="21"/>
              </w:rPr>
              <w:t xml:space="preserve"> </w:t>
            </w:r>
            <w:r>
              <w:rPr>
                <w:rFonts w:hint="eastAsia"/>
                <w:sz w:val="21"/>
                <w:szCs w:val="21"/>
              </w:rPr>
              <w:t>东经</w:t>
            </w:r>
            <w:r>
              <w:rPr>
                <w:rFonts w:hint="default"/>
                <w:sz w:val="21"/>
                <w:szCs w:val="21"/>
              </w:rPr>
              <w:t>E118°49′21″</w:t>
            </w:r>
            <w:r>
              <w:rPr>
                <w:sz w:val="21"/>
                <w:szCs w:val="21"/>
              </w:rPr>
              <w:t>，</w:t>
            </w:r>
            <w:r>
              <w:rPr>
                <w:rFonts w:hint="eastAsia" w:ascii="宋体" w:hAnsi="宋体" w:eastAsia="宋体" w:cs="宋体"/>
                <w:sz w:val="21"/>
                <w:szCs w:val="21"/>
                <w:lang w:val="en-US" w:eastAsia="zh-CN"/>
              </w:rPr>
              <w:t>南</w:t>
            </w:r>
            <w:r>
              <w:rPr>
                <w:rFonts w:hint="eastAsia" w:ascii="宋体" w:hAnsi="宋体" w:eastAsia="宋体" w:cs="宋体"/>
                <w:sz w:val="21"/>
                <w:szCs w:val="21"/>
              </w:rPr>
              <w:t>侧紧邻向</w:t>
            </w:r>
            <w:r>
              <w:rPr>
                <w:rFonts w:hint="eastAsia" w:ascii="宋体" w:hAnsi="宋体" w:eastAsia="宋体" w:cs="宋体"/>
                <w:sz w:val="21"/>
                <w:szCs w:val="21"/>
                <w:lang w:val="en-US" w:eastAsia="zh-CN"/>
              </w:rPr>
              <w:t>双港西大街</w:t>
            </w:r>
            <w:r>
              <w:rPr>
                <w:rFonts w:hint="eastAsia" w:ascii="宋体" w:hAnsi="宋体" w:eastAsia="宋体" w:cs="宋体"/>
                <w:sz w:val="21"/>
                <w:szCs w:val="21"/>
              </w:rPr>
              <w:t>，</w:t>
            </w:r>
            <w:r>
              <w:rPr>
                <w:rFonts w:hint="eastAsia" w:ascii="宋体" w:hAnsi="宋体" w:eastAsia="宋体" w:cs="宋体"/>
                <w:sz w:val="21"/>
                <w:szCs w:val="21"/>
                <w:lang w:val="en-US" w:eastAsia="zh-CN"/>
              </w:rPr>
              <w:t>北侧、东侧和西侧均为商住居民区</w:t>
            </w:r>
            <w:r>
              <w:rPr>
                <w:rFonts w:hint="eastAsia" w:ascii="宋体" w:hAnsi="宋体" w:eastAsia="宋体" w:cs="宋体"/>
                <w:sz w:val="21"/>
                <w:szCs w:val="21"/>
              </w:rPr>
              <w:t>。</w:t>
            </w:r>
          </w:p>
          <w:p>
            <w:pPr>
              <w:pStyle w:val="2"/>
              <w:overflowPunct w:val="0"/>
              <w:topLinePunct/>
              <w:adjustRightInd/>
              <w:spacing w:line="240" w:lineRule="auto"/>
              <w:ind w:firstLine="484"/>
              <w:jc w:val="both"/>
              <w:textAlignment w:val="auto"/>
              <w:rPr>
                <w:rFonts w:hint="default"/>
                <w:spacing w:val="1"/>
                <w:szCs w:val="21"/>
              </w:rPr>
            </w:pPr>
            <w:r>
              <w:rPr>
                <w:rFonts w:hint="eastAsia" w:ascii="宋体" w:hAnsi="宋体" w:eastAsia="宋体" w:cs="宋体"/>
                <w:color w:val="000000"/>
                <w:kern w:val="0"/>
                <w:sz w:val="21"/>
                <w:szCs w:val="21"/>
                <w:lang w:val="en-US" w:eastAsia="zh-CN" w:bidi="ar"/>
              </w:rPr>
              <w:t>南昌位于赣江、抚河尾闾，鄱阳湖南岸平原内。西北接九岭山地，东南依赣中南山地丘陵。全区地势低缓，西面及东南部地形较高，起伏较大，中部较低，平坦开阔。平原是南昌的主要地貌特征，兼有广阔的水域、岗地和低丘。南昌在地质构造上处于九岭山隆起和宫帽山隆起的过渡地带，宜春——乐平大断裂带的北缘。全区大部分地区处于东起进贤、西至新建的湖泊沉降区内。西部属湖西断升区范围，东部则在湖东斜隆区内，南临湖南缓隆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vAlign w:val="center"/>
          </w:tcPr>
          <w:p>
            <w:pPr>
              <w:jc w:val="center"/>
              <w:rPr>
                <w:spacing w:val="1"/>
                <w:kern w:val="0"/>
                <w:szCs w:val="21"/>
              </w:rPr>
            </w:pPr>
            <w:r>
              <w:rPr>
                <w:szCs w:val="21"/>
              </w:rPr>
              <w:t>气候类型</w:t>
            </w:r>
          </w:p>
        </w:tc>
        <w:tc>
          <w:tcPr>
            <w:tcW w:w="6853" w:type="dxa"/>
          </w:tcPr>
          <w:p>
            <w:pPr>
              <w:pStyle w:val="2"/>
              <w:overflowPunct w:val="0"/>
              <w:topLinePunct/>
              <w:adjustRightInd/>
              <w:spacing w:line="240" w:lineRule="auto"/>
              <w:ind w:firstLine="424"/>
              <w:jc w:val="both"/>
              <w:textAlignment w:val="auto"/>
              <w:rPr>
                <w:rFonts w:hint="default"/>
                <w:spacing w:val="1"/>
                <w:sz w:val="21"/>
                <w:szCs w:val="21"/>
              </w:rPr>
            </w:pPr>
            <w:r>
              <w:rPr>
                <w:rFonts w:hint="eastAsia" w:ascii="宋体" w:hAnsi="宋体" w:eastAsia="宋体" w:cs="宋体"/>
                <w:color w:val="000000"/>
                <w:kern w:val="0"/>
                <w:sz w:val="21"/>
                <w:szCs w:val="21"/>
                <w:lang w:val="en-US" w:eastAsia="zh-CN" w:bidi="ar"/>
              </w:rPr>
              <w:t>南</w:t>
            </w:r>
            <w:r>
              <w:rPr>
                <w:rFonts w:hint="eastAsia" w:ascii="宋体" w:hAnsi="宋体" w:eastAsia="宋体" w:cs="宋体"/>
                <w:color w:val="000000" w:themeColor="text1"/>
                <w:sz w:val="21"/>
                <w:szCs w:val="21"/>
                <w:lang w:val="en-US" w:eastAsia="zh-CN"/>
              </w:rPr>
              <w:t>昌市属于亚热带湿润季风气候，气候湿润温和，日照充足，一年中夏冬季长，春秋季短。南昌市是“夏炎冬寒”的典型城市，夏天炎热，有火炉之称；冬天较寒冷。年平均气温17℃-17.7℃，极端历史最高气温,40.9℃,极端历史最低气温-15.2℃。南昌市地处北半球亚热带内，受东亚季风影响，形成了亚热带季风气候。冬季多偏北风，夏季多偏南风。市内热量丰富、雨水充沛，光照充足，且作物生长旺季雨热匹配较好，为农业生产提供了有利气象条件，素有鱼米之乡的美誉。但是，由于每年季风强弱和进退迟早不同，气温变化较大，降水分布不均，高温干旱，低温降雪冷害和暴雨洪涝台风等气象灾害发生较频繁，给人们生产、生活带来不利影响。年降雨量1600-1700㎜，降水日为147-157天，年平均暴雨日5.6天，年平均相对湿度为78.5%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vAlign w:val="center"/>
          </w:tcPr>
          <w:p>
            <w:pPr>
              <w:jc w:val="center"/>
              <w:rPr>
                <w:spacing w:val="1"/>
                <w:kern w:val="0"/>
                <w:szCs w:val="21"/>
              </w:rPr>
            </w:pPr>
            <w:r>
              <w:rPr>
                <w:szCs w:val="21"/>
              </w:rPr>
              <w:t>年风向玫瑰图</w:t>
            </w:r>
          </w:p>
        </w:tc>
        <w:tc>
          <w:tcPr>
            <w:tcW w:w="6853" w:type="dxa"/>
          </w:tcPr>
          <w:p>
            <w:pPr>
              <w:ind w:firstLine="480" w:firstLineChars="200"/>
              <w:rPr>
                <w:szCs w:val="21"/>
              </w:rPr>
            </w:pPr>
            <w:r>
              <w:rPr>
                <w:sz w:val="24"/>
              </w:rPr>
              <w:drawing>
                <wp:anchor distT="0" distB="0" distL="114300" distR="114300" simplePos="0" relativeHeight="251646976" behindDoc="0" locked="0" layoutInCell="1" allowOverlap="1">
                  <wp:simplePos x="0" y="0"/>
                  <wp:positionH relativeFrom="column">
                    <wp:posOffset>9451975</wp:posOffset>
                  </wp:positionH>
                  <wp:positionV relativeFrom="paragraph">
                    <wp:posOffset>1316355</wp:posOffset>
                  </wp:positionV>
                  <wp:extent cx="476250" cy="891540"/>
                  <wp:effectExtent l="9525" t="9525" r="9525" b="13335"/>
                  <wp:wrapNone/>
                  <wp:docPr id="4" name="图片 19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95" descr="IMG_256"/>
                          <pic:cNvPicPr>
                            <a:picLocks noChangeAspect="1"/>
                          </pic:cNvPicPr>
                        </pic:nvPicPr>
                        <pic:blipFill>
                          <a:blip r:embed="rId7" cstate="print"/>
                          <a:stretch>
                            <a:fillRect/>
                          </a:stretch>
                        </pic:blipFill>
                        <pic:spPr>
                          <a:xfrm>
                            <a:off x="0" y="0"/>
                            <a:ext cx="476250" cy="891540"/>
                          </a:xfrm>
                          <a:prstGeom prst="rect">
                            <a:avLst/>
                          </a:prstGeom>
                          <a:noFill/>
                          <a:ln w="9525" cap="flat" cmpd="sng">
                            <a:solidFill>
                              <a:srgbClr val="00B0F0"/>
                            </a:solidFill>
                            <a:prstDash val="solid"/>
                            <a:miter/>
                            <a:headEnd type="none" w="med" len="med"/>
                            <a:tailEnd type="none" w="med" len="med"/>
                          </a:ln>
                        </pic:spPr>
                      </pic:pic>
                    </a:graphicData>
                  </a:graphic>
                </wp:anchor>
              </w:drawing>
            </w:r>
            <w:r>
              <w:rPr>
                <w:sz w:val="24"/>
              </w:rPr>
              <w:drawing>
                <wp:anchor distT="0" distB="0" distL="114300" distR="114300" simplePos="0" relativeHeight="251645952" behindDoc="0" locked="0" layoutInCell="1" allowOverlap="1">
                  <wp:simplePos x="0" y="0"/>
                  <wp:positionH relativeFrom="column">
                    <wp:posOffset>9299575</wp:posOffset>
                  </wp:positionH>
                  <wp:positionV relativeFrom="paragraph">
                    <wp:posOffset>1163955</wp:posOffset>
                  </wp:positionV>
                  <wp:extent cx="476250" cy="891540"/>
                  <wp:effectExtent l="9525" t="9525" r="9525" b="13335"/>
                  <wp:wrapNone/>
                  <wp:docPr id="3" name="图片 19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95" descr="IMG_256"/>
                          <pic:cNvPicPr>
                            <a:picLocks noChangeAspect="1"/>
                          </pic:cNvPicPr>
                        </pic:nvPicPr>
                        <pic:blipFill>
                          <a:blip r:embed="rId7" cstate="print"/>
                          <a:stretch>
                            <a:fillRect/>
                          </a:stretch>
                        </pic:blipFill>
                        <pic:spPr>
                          <a:xfrm>
                            <a:off x="0" y="0"/>
                            <a:ext cx="476250" cy="891540"/>
                          </a:xfrm>
                          <a:prstGeom prst="rect">
                            <a:avLst/>
                          </a:prstGeom>
                          <a:noFill/>
                          <a:ln w="9525" cap="flat" cmpd="sng">
                            <a:solidFill>
                              <a:srgbClr val="00B0F0"/>
                            </a:solidFill>
                            <a:prstDash val="solid"/>
                            <a:miter/>
                            <a:headEnd type="none" w="med" len="med"/>
                            <a:tailEnd type="none" w="med" len="med"/>
                          </a:ln>
                        </pic:spPr>
                      </pic:pic>
                    </a:graphicData>
                  </a:graphic>
                </wp:anchor>
              </w:drawing>
            </w:r>
            <w:r>
              <w:rPr>
                <w:szCs w:val="21"/>
              </w:rPr>
              <w:drawing>
                <wp:inline distT="0" distB="0" distL="0" distR="0">
                  <wp:extent cx="902335" cy="859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902335" cy="85979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tcPr>
          <w:p>
            <w:pPr>
              <w:autoSpaceDE w:val="0"/>
              <w:autoSpaceDN w:val="0"/>
              <w:adjustRightInd w:val="0"/>
              <w:rPr>
                <w:spacing w:val="1"/>
                <w:kern w:val="0"/>
                <w:szCs w:val="21"/>
              </w:rPr>
            </w:pPr>
            <w:r>
              <w:rPr>
                <w:szCs w:val="21"/>
              </w:rPr>
              <w:t>地表径流</w:t>
            </w:r>
          </w:p>
        </w:tc>
        <w:tc>
          <w:tcPr>
            <w:tcW w:w="6853" w:type="dxa"/>
          </w:tcPr>
          <w:p>
            <w:pPr>
              <w:pStyle w:val="2"/>
              <w:spacing w:line="240" w:lineRule="auto"/>
              <w:rPr>
                <w:rFonts w:hint="default"/>
                <w:b/>
                <w:bCs/>
                <w:sz w:val="21"/>
                <w:szCs w:val="21"/>
              </w:rPr>
            </w:pPr>
            <w:r>
              <w:rPr>
                <w:sz w:val="21"/>
                <w:szCs w:val="21"/>
              </w:rPr>
              <w:t>南昌境水系发育，过境河道有3条，沟渠纵横交错，湖泊、陂塘星罗棋布，共有河港76条，湖泊15个，池塘17655个，沟沥158条，属鄱阳湖水网区。赣江为全县最主要的过境河流，境内主流及支流长116.64km，流域面积为461.8km</w:t>
            </w:r>
            <w:r>
              <w:rPr>
                <w:sz w:val="21"/>
                <w:szCs w:val="21"/>
                <w:vertAlign w:val="superscript"/>
              </w:rPr>
              <w:t>2</w:t>
            </w:r>
            <w:r>
              <w:rPr>
                <w:sz w:val="21"/>
                <w:szCs w:val="21"/>
              </w:rPr>
              <w:t>，多年平均入境迳流量为699.8亿m</w:t>
            </w:r>
            <w:r>
              <w:rPr>
                <w:sz w:val="21"/>
                <w:szCs w:val="21"/>
                <w:vertAlign w:val="superscript"/>
              </w:rPr>
              <w:t>3</w:t>
            </w:r>
            <w:r>
              <w:rPr>
                <w:sz w:val="21"/>
                <w:szCs w:val="21"/>
              </w:rPr>
              <w:t>，河宽丰水期为1500～1600m，枯水期为500～600m。抚河境内全长为60.2km，流域面积为122.9km</w:t>
            </w:r>
            <w:r>
              <w:rPr>
                <w:sz w:val="21"/>
                <w:szCs w:val="21"/>
                <w:vertAlign w:val="superscript"/>
              </w:rPr>
              <w:t>2</w:t>
            </w:r>
            <w:r>
              <w:rPr>
                <w:sz w:val="21"/>
                <w:szCs w:val="21"/>
              </w:rPr>
              <w:t>，多年平均入境迳流量为152亿m</w:t>
            </w:r>
            <w:r>
              <w:rPr>
                <w:sz w:val="21"/>
                <w:szCs w:val="21"/>
                <w:vertAlign w:val="superscript"/>
              </w:rPr>
              <w:t>3</w:t>
            </w:r>
            <w:r>
              <w:rPr>
                <w:sz w:val="21"/>
                <w:szCs w:val="21"/>
              </w:rPr>
              <w:t>。清丰山河全长68.1km，宽0.3km，河床高程为19.5m，流域面积为1002.5km</w:t>
            </w:r>
            <w:r>
              <w:rPr>
                <w:sz w:val="21"/>
                <w:szCs w:val="21"/>
                <w:vertAlign w:val="superscript"/>
              </w:rPr>
              <w:t>2</w:t>
            </w:r>
            <w:r>
              <w:rPr>
                <w:sz w:val="21"/>
                <w:szCs w:val="21"/>
              </w:rPr>
              <w:t>。</w:t>
            </w:r>
          </w:p>
          <w:p>
            <w:pPr>
              <w:autoSpaceDN w:val="0"/>
              <w:ind w:firstLine="420" w:firstLineChars="200"/>
              <w:jc w:val="left"/>
              <w:rPr>
                <w:szCs w:val="21"/>
              </w:rPr>
            </w:pPr>
          </w:p>
        </w:tc>
      </w:tr>
    </w:tbl>
    <w:p>
      <w:pPr>
        <w:autoSpaceDE w:val="0"/>
        <w:autoSpaceDN w:val="0"/>
        <w:adjustRightInd w:val="0"/>
        <w:snapToGrid w:val="0"/>
        <w:spacing w:beforeLines="100" w:afterLines="50" w:line="360" w:lineRule="auto"/>
        <w:jc w:val="left"/>
        <w:outlineLvl w:val="0"/>
        <w:rPr>
          <w:b/>
          <w:bCs/>
          <w:sz w:val="24"/>
        </w:rPr>
      </w:pPr>
      <w:bookmarkStart w:id="17" w:name="_Toc26714"/>
      <w:r>
        <w:rPr>
          <w:b/>
          <w:bCs/>
          <w:sz w:val="24"/>
        </w:rPr>
        <w:t>3.2 加油站周边环境风险受体情况</w:t>
      </w:r>
      <w:bookmarkEnd w:id="17"/>
    </w:p>
    <w:p>
      <w:pPr>
        <w:autoSpaceDN w:val="0"/>
        <w:spacing w:line="360" w:lineRule="auto"/>
        <w:ind w:firstLine="480" w:firstLineChars="200"/>
        <w:jc w:val="left"/>
        <w:rPr>
          <w:sz w:val="24"/>
          <w:lang w:val="zh-CN"/>
        </w:rPr>
      </w:pPr>
      <w:r>
        <w:rPr>
          <w:sz w:val="24"/>
          <w:lang w:val="zh-CN"/>
        </w:rPr>
        <w:t>加油站周边200m范围内无自然保护区以及属国家级、省级保护的珍稀濒危野生动、植物等生态敏感区。</w:t>
      </w:r>
    </w:p>
    <w:p>
      <w:pPr>
        <w:spacing w:line="360" w:lineRule="auto"/>
        <w:ind w:firstLine="480" w:firstLineChars="200"/>
        <w:rPr>
          <w:sz w:val="24"/>
          <w:lang w:val="zh-CN"/>
        </w:rPr>
      </w:pPr>
      <w:r>
        <w:rPr>
          <w:sz w:val="24"/>
          <w:lang w:val="zh-CN"/>
        </w:rPr>
        <w:t>水环境保护目标：</w:t>
      </w:r>
      <w:r>
        <w:rPr>
          <w:rFonts w:hint="eastAsia"/>
          <w:sz w:val="24"/>
          <w:lang w:val="en-US" w:eastAsia="zh-CN"/>
        </w:rPr>
        <w:t>东</w:t>
      </w:r>
      <w:r>
        <w:rPr>
          <w:sz w:val="24"/>
        </w:rPr>
        <w:t>面</w:t>
      </w:r>
      <w:r>
        <w:rPr>
          <w:rFonts w:hint="eastAsia"/>
          <w:sz w:val="24"/>
          <w:lang w:val="en-US" w:eastAsia="zh-CN"/>
        </w:rPr>
        <w:t>4400</w:t>
      </w:r>
      <w:r>
        <w:rPr>
          <w:sz w:val="24"/>
        </w:rPr>
        <w:t>米的</w:t>
      </w:r>
      <w:r>
        <w:rPr>
          <w:rFonts w:hint="eastAsia"/>
          <w:sz w:val="24"/>
          <w:lang w:val="en-US" w:eastAsia="zh-CN"/>
        </w:rPr>
        <w:t>赣江</w:t>
      </w:r>
      <w:r>
        <w:rPr>
          <w:sz w:val="24"/>
        </w:rPr>
        <w:t>按GB3838-2002《地表水环境</w:t>
      </w:r>
      <w:r>
        <w:rPr>
          <w:sz w:val="24"/>
          <w:lang w:val="zh-CN"/>
        </w:rPr>
        <w:t>质量标准》III类标准水域功能要求。</w:t>
      </w:r>
    </w:p>
    <w:p>
      <w:pPr>
        <w:spacing w:line="360" w:lineRule="auto"/>
        <w:ind w:firstLine="480" w:firstLineChars="200"/>
        <w:rPr>
          <w:sz w:val="24"/>
          <w:lang w:val="zh-CN"/>
        </w:rPr>
      </w:pPr>
      <w:r>
        <w:rPr>
          <w:sz w:val="24"/>
          <w:lang w:val="zh-CN"/>
        </w:rPr>
        <w:t>环境空气保护目标：项目附近的居民区。环境空气质量达到GB3095-2012《环境空气质量标准》二类区要求。</w:t>
      </w:r>
    </w:p>
    <w:p>
      <w:pPr>
        <w:spacing w:line="360" w:lineRule="auto"/>
        <w:ind w:firstLine="480" w:firstLineChars="200"/>
        <w:rPr>
          <w:sz w:val="24"/>
          <w:lang w:val="zh-CN"/>
        </w:rPr>
      </w:pPr>
      <w:r>
        <w:rPr>
          <w:sz w:val="24"/>
          <w:lang w:val="zh-CN"/>
        </w:rPr>
        <w:t>噪声环境保护目标：执行GB3096－2008《声环境质量标准》2类标准要求。</w:t>
      </w:r>
    </w:p>
    <w:p>
      <w:pPr>
        <w:spacing w:line="360" w:lineRule="auto"/>
        <w:rPr>
          <w:sz w:val="24"/>
          <w:lang w:val="zh-CN"/>
        </w:rPr>
      </w:pPr>
      <w:r>
        <w:rPr>
          <w:sz w:val="24"/>
          <w:lang w:val="zh-CN"/>
        </w:rPr>
        <w:t>加油站环境保护目标见表3-3。建设项目与周围环境关系图见图3-3。</w:t>
      </w:r>
    </w:p>
    <w:p>
      <w:pPr>
        <w:pStyle w:val="2"/>
        <w:rPr>
          <w:sz w:val="24"/>
          <w:lang w:val="zh-CN"/>
        </w:rPr>
      </w:pPr>
    </w:p>
    <w:p>
      <w:pPr>
        <w:pStyle w:val="2"/>
        <w:ind w:left="0" w:leftChars="0" w:firstLine="0" w:firstLineChars="0"/>
        <w:rPr>
          <w:lang w:val="zh-CN"/>
        </w:rPr>
      </w:pPr>
    </w:p>
    <w:p>
      <w:pPr>
        <w:pStyle w:val="21"/>
        <w:spacing w:beforeLines="0"/>
        <w:rPr>
          <w:rFonts w:hint="default"/>
          <w:color w:val="auto"/>
          <w:sz w:val="21"/>
          <w:szCs w:val="21"/>
        </w:rPr>
      </w:pPr>
      <w:r>
        <w:rPr>
          <w:rFonts w:hint="default"/>
          <w:color w:val="auto"/>
          <w:sz w:val="21"/>
          <w:szCs w:val="21"/>
        </w:rPr>
        <w:t>表3-3 环境保护目标一览表</w:t>
      </w:r>
    </w:p>
    <w:tbl>
      <w:tblPr>
        <w:tblStyle w:val="14"/>
        <w:tblpPr w:leftFromText="180" w:rightFromText="180" w:vertAnchor="text" w:horzAnchor="page" w:tblpX="1887" w:tblpY="248"/>
        <w:tblOverlap w:val="never"/>
        <w:tblW w:w="8334"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101"/>
        <w:gridCol w:w="1486"/>
        <w:gridCol w:w="1050"/>
        <w:gridCol w:w="1054"/>
        <w:gridCol w:w="1357"/>
        <w:gridCol w:w="2286"/>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788" w:hRule="exact"/>
        </w:trPr>
        <w:tc>
          <w:tcPr>
            <w:tcW w:w="1101"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环境要素</w:t>
            </w:r>
          </w:p>
        </w:tc>
        <w:tc>
          <w:tcPr>
            <w:tcW w:w="1486"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保护目标名称</w:t>
            </w:r>
          </w:p>
        </w:tc>
        <w:tc>
          <w:tcPr>
            <w:tcW w:w="1050" w:type="dxa"/>
            <w:tcBorders>
              <w:tl2br w:val="nil"/>
              <w:tr2bl w:val="nil"/>
            </w:tcBorders>
            <w:vAlign w:val="center"/>
          </w:tcPr>
          <w:p>
            <w:pPr>
              <w:jc w:val="center"/>
            </w:pPr>
            <w:r>
              <w:rPr>
                <w:rFonts w:hint="eastAsia"/>
              </w:rPr>
              <w:t>距离</w:t>
            </w:r>
          </w:p>
        </w:tc>
        <w:tc>
          <w:tcPr>
            <w:tcW w:w="1054"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方位</w:t>
            </w:r>
          </w:p>
        </w:tc>
        <w:tc>
          <w:tcPr>
            <w:tcW w:w="1357"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保护目标人数（人）</w:t>
            </w:r>
          </w:p>
        </w:tc>
        <w:tc>
          <w:tcPr>
            <w:tcW w:w="2286"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环境功能</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101" w:type="dxa"/>
            <w:vMerge w:val="restart"/>
            <w:tcBorders>
              <w:tl2br w:val="nil"/>
              <w:tr2bl w:val="nil"/>
            </w:tcBorders>
            <w:vAlign w:val="center"/>
          </w:tcPr>
          <w:p>
            <w:pPr>
              <w:widowControl/>
              <w:jc w:val="center"/>
              <w:rPr>
                <w:rFonts w:ascii="宋体" w:hAnsi="宋体" w:eastAsia="宋体" w:cs="宋体"/>
                <w:szCs w:val="21"/>
              </w:rPr>
            </w:pPr>
            <w:r>
              <w:rPr>
                <w:rFonts w:hint="eastAsia" w:ascii="宋体" w:hAnsi="宋体" w:eastAsia="宋体" w:cs="宋体"/>
                <w:szCs w:val="21"/>
              </w:rPr>
              <w:t>大气环境/声环境</w:t>
            </w:r>
          </w:p>
        </w:tc>
        <w:tc>
          <w:tcPr>
            <w:tcW w:w="1486" w:type="dxa"/>
            <w:tcBorders>
              <w:tl2br w:val="nil"/>
              <w:tr2bl w:val="nil"/>
            </w:tcBorders>
            <w:vAlign w:val="center"/>
          </w:tcPr>
          <w:p>
            <w:pPr>
              <w:pStyle w:val="30"/>
              <w:numPr>
                <w:ilvl w:val="0"/>
                <w:numId w:val="0"/>
              </w:numPr>
              <w:ind w:left="0" w:leftChars="0" w:firstLine="0" w:firstLine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青岚</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1600m</w:t>
            </w:r>
          </w:p>
        </w:tc>
        <w:tc>
          <w:tcPr>
            <w:tcW w:w="1054" w:type="dxa"/>
            <w:tcBorders>
              <w:tl2br w:val="nil"/>
              <w:tr2bl w:val="nil"/>
            </w:tcBorders>
            <w:vAlign w:val="center"/>
          </w:tcPr>
          <w:p>
            <w:pPr>
              <w:jc w:val="center"/>
              <w:rPr>
                <w:rFonts w:hint="eastAsia" w:ascii="宋体" w:hAnsi="宋体" w:eastAsia="宋体" w:cs="宋体"/>
                <w:kern w:val="18"/>
                <w:szCs w:val="21"/>
                <w:lang w:val="en-US" w:eastAsia="zh-CN"/>
              </w:rPr>
            </w:pPr>
            <w:r>
              <w:rPr>
                <w:rFonts w:hint="eastAsia" w:ascii="宋体" w:hAnsi="宋体" w:eastAsia="宋体" w:cs="宋体"/>
                <w:kern w:val="18"/>
                <w:szCs w:val="21"/>
                <w:lang w:val="en-US" w:eastAsia="zh-CN"/>
              </w:rPr>
              <w:t>西北</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2000</w:t>
            </w:r>
            <w:r>
              <w:rPr>
                <w:rFonts w:hint="default" w:ascii="Times New Roman" w:hAnsi="Times New Roman" w:eastAsia="宋体" w:cs="Times New Roman"/>
                <w:kern w:val="18"/>
                <w:szCs w:val="21"/>
              </w:rPr>
              <w:t>人</w:t>
            </w:r>
          </w:p>
        </w:tc>
        <w:tc>
          <w:tcPr>
            <w:tcW w:w="2286" w:type="dxa"/>
            <w:vMerge w:val="restart"/>
            <w:tcBorders>
              <w:tl2br w:val="nil"/>
              <w:tr2bl w:val="nil"/>
            </w:tcBorders>
            <w:vAlign w:val="center"/>
          </w:tcPr>
          <w:p>
            <w:pPr>
              <w:ind w:left="-2" w:leftChars="-1"/>
              <w:contextualSpacing/>
              <w:jc w:val="center"/>
              <w:rPr>
                <w:rFonts w:hint="default" w:ascii="Times New Roman" w:hAnsi="Times New Roman" w:eastAsia="宋体" w:cs="Times New Roman"/>
                <w:szCs w:val="21"/>
              </w:rPr>
            </w:pPr>
            <w:r>
              <w:rPr>
                <w:rFonts w:hint="default" w:ascii="Times New Roman" w:hAnsi="Times New Roman" w:eastAsia="宋体" w:cs="Times New Roman"/>
                <w:szCs w:val="21"/>
              </w:rPr>
              <w:t>《环境空气质量标准》(GB3095-2012)中二级标准、《声环境质量标准》</w:t>
            </w:r>
          </w:p>
          <w:p>
            <w:pPr>
              <w:jc w:val="center"/>
              <w:rPr>
                <w:rFonts w:hint="default" w:ascii="Times New Roman" w:hAnsi="Times New Roman" w:eastAsia="宋体" w:cs="Times New Roman"/>
                <w:kern w:val="18"/>
                <w:szCs w:val="21"/>
              </w:rPr>
            </w:pPr>
            <w:r>
              <w:rPr>
                <w:rFonts w:hint="default" w:ascii="Times New Roman" w:hAnsi="Times New Roman" w:eastAsia="宋体" w:cs="Times New Roman"/>
                <w:szCs w:val="21"/>
              </w:rPr>
              <w:t>(GB3096-2008)中2类、4a类标准</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101" w:type="dxa"/>
            <w:vMerge w:val="continue"/>
            <w:tcBorders>
              <w:tl2br w:val="nil"/>
              <w:tr2bl w:val="nil"/>
            </w:tcBorders>
            <w:vAlign w:val="center"/>
          </w:tcPr>
          <w:p>
            <w:pPr>
              <w:widowControl/>
              <w:jc w:val="center"/>
              <w:rPr>
                <w:rFonts w:ascii="宋体" w:hAnsi="宋体" w:eastAsia="宋体" w:cs="宋体"/>
                <w:szCs w:val="21"/>
              </w:rPr>
            </w:pPr>
          </w:p>
        </w:tc>
        <w:tc>
          <w:tcPr>
            <w:tcW w:w="1486" w:type="dxa"/>
            <w:tcBorders>
              <w:tl2br w:val="nil"/>
              <w:tr2bl w:val="nil"/>
            </w:tcBorders>
            <w:vAlign w:val="center"/>
          </w:tcPr>
          <w:p>
            <w:pPr>
              <w:pStyle w:val="30"/>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向家</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1400m</w:t>
            </w:r>
          </w:p>
        </w:tc>
        <w:tc>
          <w:tcPr>
            <w:tcW w:w="1054" w:type="dxa"/>
            <w:tcBorders>
              <w:tl2br w:val="nil"/>
              <w:tr2bl w:val="nil"/>
            </w:tcBorders>
            <w:vAlign w:val="center"/>
          </w:tcPr>
          <w:p>
            <w:pPr>
              <w:jc w:val="center"/>
              <w:rPr>
                <w:rFonts w:hint="eastAsia" w:ascii="宋体" w:hAnsi="宋体" w:eastAsia="宋体" w:cs="宋体"/>
                <w:kern w:val="18"/>
                <w:szCs w:val="21"/>
                <w:lang w:val="en-US" w:eastAsia="zh-CN"/>
              </w:rPr>
            </w:pPr>
            <w:r>
              <w:rPr>
                <w:rFonts w:hint="eastAsia" w:ascii="宋体" w:hAnsi="宋体" w:eastAsia="宋体" w:cs="宋体"/>
                <w:kern w:val="18"/>
                <w:szCs w:val="21"/>
                <w:lang w:val="en-US" w:eastAsia="zh-CN"/>
              </w:rPr>
              <w:t>西北</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2500</w:t>
            </w:r>
            <w:r>
              <w:rPr>
                <w:rFonts w:hint="default" w:ascii="Times New Roman" w:hAnsi="Times New Roman" w:eastAsia="宋体" w:cs="Times New Roman"/>
                <w:kern w:val="18"/>
                <w:szCs w:val="21"/>
              </w:rPr>
              <w:t>人</w:t>
            </w:r>
          </w:p>
        </w:tc>
        <w:tc>
          <w:tcPr>
            <w:tcW w:w="2286" w:type="dxa"/>
            <w:vMerge w:val="continue"/>
            <w:tcBorders>
              <w:tl2br w:val="nil"/>
              <w:tr2bl w:val="nil"/>
            </w:tcBorders>
            <w:vAlign w:val="center"/>
          </w:tcPr>
          <w:p>
            <w:pPr>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101" w:type="dxa"/>
            <w:vMerge w:val="continue"/>
            <w:tcBorders>
              <w:tl2br w:val="nil"/>
              <w:tr2bl w:val="nil"/>
            </w:tcBorders>
            <w:vAlign w:val="center"/>
          </w:tcPr>
          <w:p>
            <w:pPr>
              <w:widowControl/>
              <w:jc w:val="center"/>
              <w:rPr>
                <w:rFonts w:ascii="宋体" w:hAnsi="宋体" w:eastAsia="宋体" w:cs="宋体"/>
                <w:szCs w:val="21"/>
              </w:rPr>
            </w:pPr>
          </w:p>
        </w:tc>
        <w:tc>
          <w:tcPr>
            <w:tcW w:w="1486" w:type="dxa"/>
            <w:tcBorders>
              <w:tl2br w:val="nil"/>
              <w:tr2bl w:val="nil"/>
            </w:tcBorders>
            <w:vAlign w:val="center"/>
          </w:tcPr>
          <w:p>
            <w:pPr>
              <w:pStyle w:val="30"/>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南边王家</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1100m</w:t>
            </w:r>
          </w:p>
        </w:tc>
        <w:tc>
          <w:tcPr>
            <w:tcW w:w="1054" w:type="dxa"/>
            <w:tcBorders>
              <w:tl2br w:val="nil"/>
              <w:tr2bl w:val="nil"/>
            </w:tcBorders>
            <w:vAlign w:val="center"/>
          </w:tcPr>
          <w:p>
            <w:pPr>
              <w:jc w:val="center"/>
              <w:rPr>
                <w:rFonts w:hint="eastAsia" w:ascii="宋体" w:hAnsi="宋体" w:eastAsia="宋体" w:cs="宋体"/>
                <w:kern w:val="18"/>
                <w:szCs w:val="21"/>
                <w:lang w:val="en-US" w:eastAsia="zh-CN"/>
              </w:rPr>
            </w:pPr>
            <w:r>
              <w:rPr>
                <w:rFonts w:hint="eastAsia" w:ascii="宋体" w:hAnsi="宋体" w:eastAsia="宋体" w:cs="宋体"/>
                <w:kern w:val="18"/>
                <w:szCs w:val="21"/>
                <w:lang w:val="en-US" w:eastAsia="zh-CN"/>
              </w:rPr>
              <w:t>西北</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2600</w:t>
            </w:r>
            <w:r>
              <w:rPr>
                <w:rFonts w:hint="default" w:ascii="Times New Roman" w:hAnsi="Times New Roman" w:eastAsia="宋体" w:cs="Times New Roman"/>
                <w:kern w:val="18"/>
                <w:szCs w:val="21"/>
              </w:rPr>
              <w:t>人</w:t>
            </w:r>
          </w:p>
        </w:tc>
        <w:tc>
          <w:tcPr>
            <w:tcW w:w="2286" w:type="dxa"/>
            <w:vMerge w:val="continue"/>
            <w:tcBorders>
              <w:tl2br w:val="nil"/>
              <w:tr2bl w:val="nil"/>
            </w:tcBorders>
            <w:vAlign w:val="center"/>
          </w:tcPr>
          <w:p>
            <w:pPr>
              <w:widowControl/>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101" w:type="dxa"/>
            <w:vMerge w:val="continue"/>
            <w:tcBorders>
              <w:tl2br w:val="nil"/>
              <w:tr2bl w:val="nil"/>
            </w:tcBorders>
            <w:vAlign w:val="center"/>
          </w:tcPr>
          <w:p>
            <w:pPr>
              <w:widowControl/>
              <w:jc w:val="center"/>
              <w:rPr>
                <w:rFonts w:ascii="宋体" w:hAnsi="宋体" w:eastAsia="宋体" w:cs="宋体"/>
                <w:szCs w:val="21"/>
              </w:rPr>
            </w:pPr>
          </w:p>
        </w:tc>
        <w:tc>
          <w:tcPr>
            <w:tcW w:w="1486" w:type="dxa"/>
            <w:tcBorders>
              <w:tl2br w:val="nil"/>
              <w:tr2bl w:val="nil"/>
            </w:tcBorders>
            <w:vAlign w:val="center"/>
          </w:tcPr>
          <w:p>
            <w:pPr>
              <w:pStyle w:val="30"/>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上罗村</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600m</w:t>
            </w:r>
          </w:p>
        </w:tc>
        <w:tc>
          <w:tcPr>
            <w:tcW w:w="1054" w:type="dxa"/>
            <w:tcBorders>
              <w:tl2br w:val="nil"/>
              <w:tr2bl w:val="nil"/>
            </w:tcBorders>
            <w:vAlign w:val="center"/>
          </w:tcPr>
          <w:p>
            <w:pPr>
              <w:jc w:val="center"/>
              <w:rPr>
                <w:rFonts w:hint="eastAsia" w:ascii="宋体" w:hAnsi="宋体" w:eastAsia="宋体" w:cs="宋体"/>
                <w:kern w:val="18"/>
                <w:szCs w:val="21"/>
                <w:lang w:val="en-US" w:eastAsia="zh-CN"/>
              </w:rPr>
            </w:pPr>
            <w:r>
              <w:rPr>
                <w:rFonts w:hint="eastAsia" w:ascii="宋体" w:hAnsi="宋体" w:eastAsia="宋体" w:cs="宋体"/>
                <w:kern w:val="18"/>
                <w:szCs w:val="21"/>
                <w:lang w:val="en-US" w:eastAsia="zh-CN"/>
              </w:rPr>
              <w:t>西</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2400</w:t>
            </w:r>
            <w:r>
              <w:rPr>
                <w:rFonts w:hint="default" w:ascii="Times New Roman" w:hAnsi="Times New Roman" w:eastAsia="宋体" w:cs="Times New Roman"/>
                <w:kern w:val="18"/>
                <w:szCs w:val="21"/>
              </w:rPr>
              <w:t>人</w:t>
            </w:r>
          </w:p>
        </w:tc>
        <w:tc>
          <w:tcPr>
            <w:tcW w:w="2286" w:type="dxa"/>
            <w:vMerge w:val="continue"/>
            <w:tcBorders>
              <w:tl2br w:val="nil"/>
              <w:tr2bl w:val="nil"/>
            </w:tcBorders>
            <w:vAlign w:val="center"/>
          </w:tcPr>
          <w:p>
            <w:pPr>
              <w:widowControl/>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101" w:type="dxa"/>
            <w:vMerge w:val="continue"/>
            <w:tcBorders>
              <w:tl2br w:val="nil"/>
              <w:tr2bl w:val="nil"/>
            </w:tcBorders>
            <w:vAlign w:val="center"/>
          </w:tcPr>
          <w:p>
            <w:pPr>
              <w:widowControl/>
              <w:jc w:val="center"/>
              <w:rPr>
                <w:rFonts w:ascii="宋体" w:hAnsi="宋体" w:eastAsia="宋体" w:cs="宋体"/>
                <w:szCs w:val="21"/>
              </w:rPr>
            </w:pPr>
          </w:p>
        </w:tc>
        <w:tc>
          <w:tcPr>
            <w:tcW w:w="1486" w:type="dxa"/>
            <w:tcBorders>
              <w:tl2br w:val="nil"/>
              <w:tr2bl w:val="nil"/>
            </w:tcBorders>
            <w:vAlign w:val="center"/>
          </w:tcPr>
          <w:p>
            <w:pPr>
              <w:pStyle w:val="30"/>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老屋李家</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1400m</w:t>
            </w:r>
          </w:p>
        </w:tc>
        <w:tc>
          <w:tcPr>
            <w:tcW w:w="1054" w:type="dxa"/>
            <w:tcBorders>
              <w:tl2br w:val="nil"/>
              <w:tr2bl w:val="nil"/>
            </w:tcBorders>
            <w:vAlign w:val="center"/>
          </w:tcPr>
          <w:p>
            <w:pPr>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西南</w:t>
            </w:r>
          </w:p>
        </w:tc>
        <w:tc>
          <w:tcPr>
            <w:tcW w:w="1357" w:type="dxa"/>
            <w:tcBorders>
              <w:tl2br w:val="nil"/>
              <w:tr2bl w:val="nil"/>
            </w:tcBorders>
            <w:vAlign w:val="center"/>
          </w:tcPr>
          <w:p>
            <w:pPr>
              <w:jc w:val="center"/>
              <w:rPr>
                <w:rFonts w:hint="default" w:ascii="Times New Roman" w:hAnsi="Times New Roman" w:cs="Times New Roman"/>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2200</w:t>
            </w:r>
            <w:r>
              <w:rPr>
                <w:rFonts w:hint="default" w:ascii="Times New Roman" w:hAnsi="Times New Roman" w:eastAsia="宋体" w:cs="Times New Roman"/>
                <w:kern w:val="18"/>
                <w:szCs w:val="21"/>
              </w:rPr>
              <w:t>人</w:t>
            </w:r>
          </w:p>
        </w:tc>
        <w:tc>
          <w:tcPr>
            <w:tcW w:w="2286" w:type="dxa"/>
            <w:vMerge w:val="continue"/>
            <w:tcBorders>
              <w:tl2br w:val="nil"/>
              <w:tr2bl w:val="nil"/>
            </w:tcBorders>
            <w:vAlign w:val="center"/>
          </w:tcPr>
          <w:p>
            <w:pPr>
              <w:widowControl/>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101" w:type="dxa"/>
            <w:vMerge w:val="continue"/>
            <w:tcBorders>
              <w:tl2br w:val="nil"/>
              <w:tr2bl w:val="nil"/>
            </w:tcBorders>
            <w:vAlign w:val="center"/>
          </w:tcPr>
          <w:p>
            <w:pPr>
              <w:widowControl/>
              <w:jc w:val="center"/>
              <w:rPr>
                <w:rFonts w:ascii="宋体" w:hAnsi="宋体" w:eastAsia="宋体" w:cs="宋体"/>
                <w:szCs w:val="21"/>
              </w:rPr>
            </w:pPr>
          </w:p>
        </w:tc>
        <w:tc>
          <w:tcPr>
            <w:tcW w:w="1486" w:type="dxa"/>
            <w:tcBorders>
              <w:tl2br w:val="nil"/>
              <w:tr2bl w:val="nil"/>
            </w:tcBorders>
            <w:vAlign w:val="center"/>
          </w:tcPr>
          <w:p>
            <w:pPr>
              <w:pStyle w:val="30"/>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汪家</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1300m</w:t>
            </w:r>
          </w:p>
        </w:tc>
        <w:tc>
          <w:tcPr>
            <w:tcW w:w="1054" w:type="dxa"/>
            <w:tcBorders>
              <w:tl2br w:val="nil"/>
              <w:tr2bl w:val="nil"/>
            </w:tcBorders>
            <w:vAlign w:val="center"/>
          </w:tcPr>
          <w:p>
            <w:pPr>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南</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2800</w:t>
            </w:r>
            <w:r>
              <w:rPr>
                <w:rFonts w:hint="default" w:ascii="Times New Roman" w:hAnsi="Times New Roman" w:eastAsia="宋体" w:cs="Times New Roman"/>
                <w:kern w:val="18"/>
                <w:szCs w:val="21"/>
              </w:rPr>
              <w:t>人</w:t>
            </w:r>
          </w:p>
        </w:tc>
        <w:tc>
          <w:tcPr>
            <w:tcW w:w="2286" w:type="dxa"/>
            <w:vMerge w:val="continue"/>
            <w:tcBorders>
              <w:tl2br w:val="nil"/>
              <w:tr2bl w:val="nil"/>
            </w:tcBorders>
            <w:vAlign w:val="center"/>
          </w:tcPr>
          <w:p>
            <w:pPr>
              <w:widowControl/>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101" w:type="dxa"/>
            <w:vMerge w:val="continue"/>
            <w:tcBorders>
              <w:tl2br w:val="nil"/>
              <w:tr2bl w:val="nil"/>
            </w:tcBorders>
            <w:vAlign w:val="center"/>
          </w:tcPr>
          <w:p>
            <w:pPr>
              <w:widowControl/>
              <w:jc w:val="center"/>
              <w:rPr>
                <w:rFonts w:ascii="宋体" w:hAnsi="宋体" w:eastAsia="宋体" w:cs="宋体"/>
                <w:szCs w:val="21"/>
              </w:rPr>
            </w:pPr>
          </w:p>
        </w:tc>
        <w:tc>
          <w:tcPr>
            <w:tcW w:w="1486" w:type="dxa"/>
            <w:tcBorders>
              <w:tl2br w:val="nil"/>
              <w:tr2bl w:val="nil"/>
            </w:tcBorders>
            <w:vAlign w:val="center"/>
          </w:tcPr>
          <w:p>
            <w:pPr>
              <w:pStyle w:val="30"/>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附近居民</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1000m</w:t>
            </w:r>
          </w:p>
        </w:tc>
        <w:tc>
          <w:tcPr>
            <w:tcW w:w="1054" w:type="dxa"/>
            <w:tcBorders>
              <w:tl2br w:val="nil"/>
              <w:tr2bl w:val="nil"/>
            </w:tcBorders>
            <w:vAlign w:val="center"/>
          </w:tcPr>
          <w:p>
            <w:pPr>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东北，东南，南</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20000</w:t>
            </w:r>
            <w:r>
              <w:rPr>
                <w:rFonts w:hint="default" w:ascii="Times New Roman" w:hAnsi="Times New Roman" w:eastAsia="宋体" w:cs="Times New Roman"/>
                <w:kern w:val="18"/>
                <w:szCs w:val="21"/>
              </w:rPr>
              <w:t>人</w:t>
            </w:r>
          </w:p>
        </w:tc>
        <w:tc>
          <w:tcPr>
            <w:tcW w:w="2286" w:type="dxa"/>
            <w:vMerge w:val="continue"/>
            <w:tcBorders>
              <w:tl2br w:val="nil"/>
              <w:tr2bl w:val="nil"/>
            </w:tcBorders>
            <w:vAlign w:val="center"/>
          </w:tcPr>
          <w:p>
            <w:pPr>
              <w:widowControl/>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101" w:type="dxa"/>
            <w:tcBorders>
              <w:tl2br w:val="nil"/>
              <w:tr2bl w:val="nil"/>
            </w:tcBorders>
            <w:vAlign w:val="center"/>
          </w:tcPr>
          <w:p>
            <w:pPr>
              <w:widowControl/>
              <w:jc w:val="center"/>
              <w:rPr>
                <w:rFonts w:ascii="宋体" w:hAnsi="宋体" w:eastAsia="宋体" w:cs="宋体"/>
                <w:szCs w:val="21"/>
              </w:rPr>
            </w:pPr>
            <w:r>
              <w:rPr>
                <w:rFonts w:hint="eastAsia" w:ascii="宋体" w:hAnsi="宋体" w:eastAsia="宋体" w:cs="宋体"/>
                <w:szCs w:val="21"/>
              </w:rPr>
              <w:t>水环境</w:t>
            </w:r>
          </w:p>
        </w:tc>
        <w:tc>
          <w:tcPr>
            <w:tcW w:w="1486" w:type="dxa"/>
            <w:tcBorders>
              <w:tl2br w:val="nil"/>
              <w:tr2bl w:val="nil"/>
            </w:tcBorders>
            <w:vAlign w:val="center"/>
          </w:tcPr>
          <w:p>
            <w:pPr>
              <w:jc w:val="center"/>
              <w:rPr>
                <w:rFonts w:hint="eastAsia" w:ascii="宋体" w:hAnsi="宋体" w:eastAsia="宋体" w:cs="宋体"/>
                <w:kern w:val="18"/>
                <w:szCs w:val="21"/>
                <w:lang w:eastAsia="zh-CN"/>
              </w:rPr>
            </w:pPr>
            <w:r>
              <w:rPr>
                <w:rFonts w:hint="eastAsia" w:ascii="宋体" w:hAnsi="宋体" w:eastAsia="宋体" w:cs="宋体"/>
                <w:kern w:val="18"/>
                <w:szCs w:val="21"/>
                <w:lang w:val="en-US" w:eastAsia="zh-CN"/>
              </w:rPr>
              <w:t>赣江</w:t>
            </w:r>
          </w:p>
        </w:tc>
        <w:tc>
          <w:tcPr>
            <w:tcW w:w="1050"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lang w:val="en-US" w:eastAsia="zh-CN"/>
              </w:rPr>
              <w:t>4.4</w:t>
            </w:r>
            <w:r>
              <w:rPr>
                <w:rFonts w:hint="default" w:ascii="Times New Roman" w:hAnsi="Times New Roman" w:eastAsia="宋体" w:cs="Times New Roman"/>
                <w:kern w:val="18"/>
                <w:szCs w:val="21"/>
              </w:rPr>
              <w:t>km</w:t>
            </w:r>
          </w:p>
        </w:tc>
        <w:tc>
          <w:tcPr>
            <w:tcW w:w="1054"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lang w:val="en-US" w:eastAsia="zh-CN"/>
              </w:rPr>
              <w:t>东</w:t>
            </w:r>
            <w:r>
              <w:rPr>
                <w:rFonts w:hint="eastAsia" w:ascii="宋体" w:hAnsi="宋体" w:eastAsia="宋体" w:cs="宋体"/>
                <w:kern w:val="18"/>
                <w:szCs w:val="21"/>
              </w:rPr>
              <w:t>面</w:t>
            </w:r>
          </w:p>
        </w:tc>
        <w:tc>
          <w:tcPr>
            <w:tcW w:w="1357"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大河</w:t>
            </w:r>
          </w:p>
        </w:tc>
        <w:tc>
          <w:tcPr>
            <w:tcW w:w="2286" w:type="dxa"/>
            <w:tcBorders>
              <w:tl2br w:val="nil"/>
              <w:tr2bl w:val="nil"/>
            </w:tcBorders>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0"/>
              </w:rPr>
              <w:t>《地表水环境质量标准》(</w:t>
            </w:r>
            <w:r>
              <w:rPr>
                <w:rFonts w:hint="default" w:ascii="Times New Roman" w:hAnsi="Times New Roman" w:eastAsia="宋体" w:cs="Times New Roman"/>
                <w:szCs w:val="21"/>
              </w:rPr>
              <w:t>GB3838-2002</w:t>
            </w:r>
            <w:r>
              <w:rPr>
                <w:rFonts w:hint="default" w:ascii="Times New Roman" w:hAnsi="Times New Roman" w:eastAsia="宋体" w:cs="Times New Roman"/>
                <w:szCs w:val="20"/>
              </w:rPr>
              <w:t>)</w:t>
            </w:r>
            <w:r>
              <w:rPr>
                <w:rFonts w:hint="default" w:ascii="Times New Roman" w:hAnsi="Times New Roman" w:eastAsia="宋体" w:cs="Times New Roman"/>
                <w:szCs w:val="21"/>
              </w:rPr>
              <w:t>中Ⅲ类水体</w:t>
            </w:r>
          </w:p>
          <w:p>
            <w:pPr>
              <w:jc w:val="center"/>
              <w:rPr>
                <w:rFonts w:hint="default" w:ascii="Times New Roman" w:hAnsi="Times New Roman" w:eastAsia="宋体" w:cs="Times New Roman"/>
                <w:kern w:val="18"/>
                <w:szCs w:val="21"/>
              </w:rPr>
            </w:pPr>
            <w:r>
              <w:rPr>
                <w:rFonts w:hint="default" w:ascii="Times New Roman" w:hAnsi="Times New Roman" w:eastAsia="宋体" w:cs="Times New Roman"/>
                <w:szCs w:val="21"/>
              </w:rPr>
              <w:t>标准</w:t>
            </w:r>
          </w:p>
        </w:tc>
      </w:tr>
    </w:tbl>
    <w:p>
      <w:pPr>
        <w:adjustRightInd w:val="0"/>
        <w:snapToGrid w:val="0"/>
        <w:spacing w:line="360" w:lineRule="auto"/>
        <w:jc w:val="both"/>
        <w:rPr>
          <w:b/>
          <w:snapToGrid w:val="0"/>
          <w:kern w:val="0"/>
          <w:szCs w:val="21"/>
          <w:lang w:val="zh-CN"/>
        </w:rPr>
      </w:pPr>
    </w:p>
    <w:p>
      <w:pPr>
        <w:rPr>
          <w:b/>
          <w:snapToGrid w:val="0"/>
          <w:kern w:val="0"/>
          <w:szCs w:val="21"/>
          <w:lang w:val="zh-CN"/>
        </w:rPr>
      </w:pPr>
      <w:r>
        <w:rPr>
          <w:b/>
          <w:snapToGrid w:val="0"/>
          <w:kern w:val="0"/>
          <w:szCs w:val="21"/>
          <w:lang w:val="zh-CN"/>
        </w:rPr>
        <w:br w:type="page"/>
      </w:r>
    </w:p>
    <w:p>
      <w:pPr>
        <w:adjustRightInd w:val="0"/>
        <w:snapToGrid w:val="0"/>
        <w:spacing w:line="360" w:lineRule="auto"/>
        <w:jc w:val="center"/>
        <w:rPr>
          <w:b/>
          <w:snapToGrid w:val="0"/>
          <w:kern w:val="0"/>
          <w:szCs w:val="21"/>
          <w:lang w:val="zh-CN"/>
        </w:rPr>
      </w:pPr>
      <w:r>
        <w:rPr>
          <w:b/>
          <w:snapToGrid w:val="0"/>
          <w:kern w:val="0"/>
          <w:szCs w:val="21"/>
          <w:lang w:val="zh-CN"/>
        </w:rPr>
        <w:t>图</w:t>
      </w:r>
      <w:r>
        <w:rPr>
          <w:b/>
          <w:snapToGrid w:val="0"/>
          <w:kern w:val="0"/>
          <w:szCs w:val="21"/>
        </w:rPr>
        <w:t xml:space="preserve">3-1 </w:t>
      </w:r>
      <w:r>
        <w:rPr>
          <w:b/>
          <w:snapToGrid w:val="0"/>
          <w:kern w:val="0"/>
          <w:szCs w:val="21"/>
          <w:lang w:val="zh-CN"/>
        </w:rPr>
        <w:t>建设项目与周围环境关系图</w:t>
      </w:r>
    </w:p>
    <w:p>
      <w:pPr>
        <w:pStyle w:val="19"/>
        <w:jc w:val="center"/>
        <w:rPr>
          <w:rFonts w:hint="eastAsia"/>
          <w:sz w:val="24"/>
          <w:szCs w:val="20"/>
        </w:rPr>
      </w:pPr>
      <w:r>
        <w:rPr>
          <w:sz w:val="24"/>
        </w:rPr>
        <w:pict>
          <v:shape id="_x0000_s1096" o:spid="_x0000_s1096" o:spt="61" type="#_x0000_t61" style="position:absolute;left:0pt;margin-left:230.4pt;margin-top:177.45pt;height:22.9pt;width:77.35pt;z-index:251819008;mso-width-relative:page;mso-height-relative:page;" filled="f" stroked="t" coordsize="21600,21600" adj="-3134,53415">
            <v:path/>
            <v:fill on="f" focussize="0,0"/>
            <v:stroke weight="2.25pt" color="#C00000" joinstyle="miter"/>
            <v:imagedata o:title=""/>
            <o:lock v:ext="edit" aspectratio="f"/>
            <v:textbox>
              <w:txbxContent>
                <w:p>
                  <w:pPr>
                    <w:rPr>
                      <w:rFonts w:hint="default" w:eastAsiaTheme="minorEastAsia"/>
                      <w:b/>
                      <w:bCs/>
                      <w:sz w:val="24"/>
                      <w:szCs w:val="24"/>
                      <w:highlight w:val="yellow"/>
                      <w:lang w:val="en-US" w:eastAsia="zh-CN"/>
                    </w:rPr>
                  </w:pPr>
                  <w:r>
                    <w:rPr>
                      <w:rFonts w:hint="eastAsia"/>
                      <w:b/>
                      <w:bCs/>
                      <w:sz w:val="24"/>
                      <w:szCs w:val="24"/>
                      <w:highlight w:val="yellow"/>
                      <w:lang w:val="en-US" w:eastAsia="zh-CN"/>
                    </w:rPr>
                    <w:t>项目所在地</w:t>
                  </w:r>
                </w:p>
              </w:txbxContent>
            </v:textbox>
          </v:shape>
        </w:pict>
      </w:r>
      <w:r>
        <w:rPr>
          <w:rFonts w:hint="eastAsia"/>
          <w:sz w:val="24"/>
          <w:szCs w:val="20"/>
        </w:rPr>
        <w:drawing>
          <wp:anchor distT="0" distB="0" distL="114300" distR="114300" simplePos="0" relativeHeight="251648000" behindDoc="0" locked="0" layoutInCell="1" allowOverlap="1">
            <wp:simplePos x="0" y="0"/>
            <wp:positionH relativeFrom="column">
              <wp:posOffset>4620260</wp:posOffset>
            </wp:positionH>
            <wp:positionV relativeFrom="paragraph">
              <wp:posOffset>62865</wp:posOffset>
            </wp:positionV>
            <wp:extent cx="904875" cy="862330"/>
            <wp:effectExtent l="0" t="0" r="0" b="0"/>
            <wp:wrapNone/>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904875" cy="862459"/>
                    </a:xfrm>
                    <a:prstGeom prst="rect">
                      <a:avLst/>
                    </a:prstGeom>
                    <a:noFill/>
                    <a:ln>
                      <a:noFill/>
                    </a:ln>
                  </pic:spPr>
                </pic:pic>
              </a:graphicData>
            </a:graphic>
          </wp:anchor>
        </w:drawing>
      </w:r>
      <w:r>
        <w:drawing>
          <wp:inline distT="0" distB="0" distL="114300" distR="114300">
            <wp:extent cx="5539740" cy="5621020"/>
            <wp:effectExtent l="0" t="0" r="7620" b="2540"/>
            <wp:docPr id="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pic:cNvPicPr>
                      <a:picLocks noChangeAspect="1"/>
                    </pic:cNvPicPr>
                  </pic:nvPicPr>
                  <pic:blipFill>
                    <a:blip r:embed="rId10"/>
                    <a:stretch>
                      <a:fillRect/>
                    </a:stretch>
                  </pic:blipFill>
                  <pic:spPr>
                    <a:xfrm>
                      <a:off x="0" y="0"/>
                      <a:ext cx="5539740" cy="5621020"/>
                    </a:xfrm>
                    <a:prstGeom prst="rect">
                      <a:avLst/>
                    </a:prstGeom>
                    <a:noFill/>
                    <a:ln>
                      <a:noFill/>
                    </a:ln>
                  </pic:spPr>
                </pic:pic>
              </a:graphicData>
            </a:graphic>
          </wp:inline>
        </w:drawing>
      </w:r>
    </w:p>
    <w:p>
      <w:pPr>
        <w:pStyle w:val="19"/>
        <w:rPr>
          <w:rFonts w:hint="eastAsia"/>
          <w:sz w:val="24"/>
          <w:szCs w:val="20"/>
        </w:rPr>
      </w:pPr>
    </w:p>
    <w:p>
      <w:pPr>
        <w:autoSpaceDE w:val="0"/>
        <w:autoSpaceDN w:val="0"/>
        <w:adjustRightInd w:val="0"/>
        <w:snapToGrid w:val="0"/>
        <w:spacing w:beforeLines="100" w:afterLines="50" w:line="360" w:lineRule="auto"/>
        <w:jc w:val="left"/>
        <w:outlineLvl w:val="0"/>
        <w:rPr>
          <w:b/>
          <w:bCs/>
          <w:sz w:val="24"/>
        </w:rPr>
      </w:pPr>
      <w:bookmarkStart w:id="18" w:name="_Toc25981"/>
      <w:r>
        <w:rPr>
          <w:b/>
          <w:bCs/>
          <w:sz w:val="24"/>
        </w:rPr>
        <w:t>3.3 涉及环境风险物质情况</w:t>
      </w:r>
      <w:bookmarkEnd w:id="18"/>
    </w:p>
    <w:p>
      <w:pPr>
        <w:snapToGrid w:val="0"/>
        <w:spacing w:line="360" w:lineRule="auto"/>
        <w:ind w:firstLine="480" w:firstLineChars="200"/>
        <w:jc w:val="left"/>
        <w:rPr>
          <w:sz w:val="24"/>
        </w:rPr>
      </w:pPr>
      <w:r>
        <w:rPr>
          <w:sz w:val="24"/>
        </w:rPr>
        <w:t>加油站涉及的主要风险物质为汽油</w:t>
      </w:r>
      <w:r>
        <w:rPr>
          <w:rFonts w:hint="eastAsia"/>
          <w:sz w:val="24"/>
        </w:rPr>
        <w:t>和柴油</w:t>
      </w:r>
      <w:r>
        <w:rPr>
          <w:sz w:val="24"/>
        </w:rPr>
        <w:t>，各类物质的数量详见表3-4所示。</w:t>
      </w:r>
    </w:p>
    <w:p>
      <w:pPr>
        <w:autoSpaceDE w:val="0"/>
        <w:autoSpaceDN w:val="0"/>
        <w:adjustRightInd w:val="0"/>
        <w:spacing w:line="360" w:lineRule="auto"/>
        <w:ind w:firstLine="480"/>
        <w:jc w:val="center"/>
      </w:pPr>
      <w:r>
        <w:rPr>
          <w:b/>
          <w:bCs/>
          <w:spacing w:val="1"/>
          <w:kern w:val="0"/>
          <w:szCs w:val="21"/>
        </w:rPr>
        <w:t>表3-4   环境风险物质的种类及数量</w:t>
      </w:r>
    </w:p>
    <w:tbl>
      <w:tblPr>
        <w:tblStyle w:val="14"/>
        <w:tblpPr w:leftFromText="180" w:rightFromText="180" w:vertAnchor="text" w:horzAnchor="page" w:tblpX="2276" w:tblpY="409"/>
        <w:tblOverlap w:val="never"/>
        <w:tblW w:w="75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7"/>
        <w:gridCol w:w="1060"/>
        <w:gridCol w:w="1067"/>
        <w:gridCol w:w="1127"/>
        <w:gridCol w:w="1024"/>
        <w:gridCol w:w="1348"/>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8" w:hRule="atLeast"/>
        </w:trPr>
        <w:tc>
          <w:tcPr>
            <w:tcW w:w="1007" w:type="dxa"/>
            <w:vMerge w:val="restart"/>
            <w:vAlign w:val="center"/>
          </w:tcPr>
          <w:p>
            <w:pPr>
              <w:jc w:val="center"/>
              <w:rPr>
                <w:b/>
                <w:bCs/>
                <w:szCs w:val="21"/>
              </w:rPr>
            </w:pPr>
            <w:r>
              <w:rPr>
                <w:b/>
                <w:bCs/>
                <w:szCs w:val="21"/>
              </w:rPr>
              <w:t>物质名称</w:t>
            </w:r>
          </w:p>
        </w:tc>
        <w:tc>
          <w:tcPr>
            <w:tcW w:w="2127" w:type="dxa"/>
            <w:gridSpan w:val="2"/>
            <w:vAlign w:val="center"/>
          </w:tcPr>
          <w:p>
            <w:pPr>
              <w:jc w:val="center"/>
              <w:rPr>
                <w:b/>
                <w:bCs/>
                <w:szCs w:val="21"/>
              </w:rPr>
            </w:pPr>
            <w:r>
              <w:rPr>
                <w:b/>
                <w:bCs/>
                <w:szCs w:val="21"/>
              </w:rPr>
              <w:t>临界量（t）</w:t>
            </w:r>
          </w:p>
        </w:tc>
        <w:tc>
          <w:tcPr>
            <w:tcW w:w="2151" w:type="dxa"/>
            <w:gridSpan w:val="2"/>
            <w:vAlign w:val="center"/>
          </w:tcPr>
          <w:p>
            <w:pPr>
              <w:jc w:val="center"/>
              <w:rPr>
                <w:b/>
                <w:bCs/>
                <w:szCs w:val="21"/>
              </w:rPr>
            </w:pPr>
            <w:r>
              <w:rPr>
                <w:b/>
                <w:bCs/>
                <w:szCs w:val="21"/>
              </w:rPr>
              <w:t>实际量（t）</w:t>
            </w:r>
          </w:p>
        </w:tc>
        <w:tc>
          <w:tcPr>
            <w:tcW w:w="1348" w:type="dxa"/>
            <w:vMerge w:val="restart"/>
            <w:vAlign w:val="center"/>
          </w:tcPr>
          <w:p>
            <w:pPr>
              <w:jc w:val="center"/>
              <w:rPr>
                <w:b/>
                <w:bCs/>
                <w:szCs w:val="21"/>
              </w:rPr>
            </w:pPr>
            <w:r>
              <w:rPr>
                <w:b/>
                <w:bCs/>
                <w:szCs w:val="21"/>
              </w:rPr>
              <w:t>重大危险源</w:t>
            </w:r>
          </w:p>
        </w:tc>
        <w:tc>
          <w:tcPr>
            <w:tcW w:w="924" w:type="dxa"/>
            <w:vMerge w:val="restart"/>
            <w:vAlign w:val="center"/>
          </w:tcPr>
          <w:p>
            <w:pPr>
              <w:jc w:val="center"/>
              <w:rPr>
                <w:b/>
                <w:bCs/>
                <w:szCs w:val="21"/>
              </w:rPr>
            </w:pPr>
            <w:r>
              <w:rPr>
                <w:b/>
                <w:bCs/>
                <w:szCs w:val="21"/>
              </w:rPr>
              <w:t>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6" w:hRule="atLeast"/>
        </w:trPr>
        <w:tc>
          <w:tcPr>
            <w:tcW w:w="1007" w:type="dxa"/>
            <w:vMerge w:val="continue"/>
            <w:vAlign w:val="center"/>
          </w:tcPr>
          <w:p>
            <w:pPr>
              <w:jc w:val="center"/>
              <w:rPr>
                <w:szCs w:val="21"/>
              </w:rPr>
            </w:pPr>
          </w:p>
        </w:tc>
        <w:tc>
          <w:tcPr>
            <w:tcW w:w="1060" w:type="dxa"/>
            <w:vAlign w:val="center"/>
          </w:tcPr>
          <w:p>
            <w:pPr>
              <w:jc w:val="center"/>
              <w:rPr>
                <w:b/>
                <w:szCs w:val="21"/>
              </w:rPr>
            </w:pPr>
            <w:r>
              <w:rPr>
                <w:b/>
                <w:szCs w:val="21"/>
              </w:rPr>
              <w:t>生产场所</w:t>
            </w:r>
          </w:p>
        </w:tc>
        <w:tc>
          <w:tcPr>
            <w:tcW w:w="1067" w:type="dxa"/>
            <w:vAlign w:val="center"/>
          </w:tcPr>
          <w:p>
            <w:pPr>
              <w:jc w:val="center"/>
              <w:rPr>
                <w:b/>
                <w:szCs w:val="21"/>
              </w:rPr>
            </w:pPr>
            <w:r>
              <w:rPr>
                <w:b/>
                <w:szCs w:val="21"/>
              </w:rPr>
              <w:t>贮存区</w:t>
            </w:r>
          </w:p>
        </w:tc>
        <w:tc>
          <w:tcPr>
            <w:tcW w:w="1127" w:type="dxa"/>
            <w:vAlign w:val="center"/>
          </w:tcPr>
          <w:p>
            <w:pPr>
              <w:jc w:val="center"/>
              <w:rPr>
                <w:b/>
                <w:szCs w:val="21"/>
              </w:rPr>
            </w:pPr>
            <w:r>
              <w:rPr>
                <w:b/>
                <w:szCs w:val="21"/>
              </w:rPr>
              <w:t>生产场所</w:t>
            </w:r>
          </w:p>
        </w:tc>
        <w:tc>
          <w:tcPr>
            <w:tcW w:w="1024" w:type="dxa"/>
            <w:vAlign w:val="center"/>
          </w:tcPr>
          <w:p>
            <w:pPr>
              <w:jc w:val="center"/>
              <w:rPr>
                <w:b/>
                <w:szCs w:val="21"/>
              </w:rPr>
            </w:pPr>
            <w:r>
              <w:rPr>
                <w:b/>
                <w:szCs w:val="21"/>
              </w:rPr>
              <w:t>贮存区</w:t>
            </w:r>
          </w:p>
        </w:tc>
        <w:tc>
          <w:tcPr>
            <w:tcW w:w="1348" w:type="dxa"/>
            <w:vMerge w:val="continue"/>
            <w:vAlign w:val="center"/>
          </w:tcPr>
          <w:p>
            <w:pPr>
              <w:jc w:val="center"/>
              <w:rPr>
                <w:szCs w:val="21"/>
              </w:rPr>
            </w:pPr>
          </w:p>
        </w:tc>
        <w:tc>
          <w:tcPr>
            <w:tcW w:w="924" w:type="dxa"/>
            <w:vMerge w:val="continue"/>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07" w:type="dxa"/>
            <w:vAlign w:val="center"/>
          </w:tcPr>
          <w:p>
            <w:pPr>
              <w:jc w:val="center"/>
              <w:rPr>
                <w:szCs w:val="21"/>
              </w:rPr>
            </w:pPr>
            <w:r>
              <w:rPr>
                <w:szCs w:val="21"/>
              </w:rPr>
              <w:t>汽油</w:t>
            </w:r>
          </w:p>
        </w:tc>
        <w:tc>
          <w:tcPr>
            <w:tcW w:w="1060" w:type="dxa"/>
            <w:vAlign w:val="center"/>
          </w:tcPr>
          <w:p>
            <w:pPr>
              <w:jc w:val="center"/>
              <w:rPr>
                <w:szCs w:val="21"/>
              </w:rPr>
            </w:pPr>
            <w:r>
              <w:rPr>
                <w:szCs w:val="21"/>
              </w:rPr>
              <w:t>/</w:t>
            </w:r>
          </w:p>
        </w:tc>
        <w:tc>
          <w:tcPr>
            <w:tcW w:w="1067" w:type="dxa"/>
            <w:vAlign w:val="center"/>
          </w:tcPr>
          <w:p>
            <w:pPr>
              <w:jc w:val="center"/>
              <w:rPr>
                <w:szCs w:val="21"/>
              </w:rPr>
            </w:pPr>
            <w:r>
              <w:rPr>
                <w:rFonts w:hint="eastAsia"/>
                <w:szCs w:val="21"/>
                <w:lang w:val="en-US" w:eastAsia="zh-CN"/>
              </w:rPr>
              <w:t>2</w:t>
            </w:r>
            <w:r>
              <w:rPr>
                <w:szCs w:val="21"/>
              </w:rPr>
              <w:t>00t</w:t>
            </w:r>
          </w:p>
        </w:tc>
        <w:tc>
          <w:tcPr>
            <w:tcW w:w="1127" w:type="dxa"/>
            <w:vAlign w:val="center"/>
          </w:tcPr>
          <w:p>
            <w:pPr>
              <w:jc w:val="center"/>
              <w:rPr>
                <w:szCs w:val="21"/>
              </w:rPr>
            </w:pPr>
            <w:r>
              <w:rPr>
                <w:szCs w:val="21"/>
              </w:rPr>
              <w:t>/</w:t>
            </w:r>
          </w:p>
        </w:tc>
        <w:tc>
          <w:tcPr>
            <w:tcW w:w="1024" w:type="dxa"/>
            <w:vAlign w:val="center"/>
          </w:tcPr>
          <w:p>
            <w:pPr>
              <w:jc w:val="center"/>
              <w:rPr>
                <w:rFonts w:hint="default" w:eastAsia="宋体"/>
                <w:szCs w:val="21"/>
                <w:lang w:val="en-US" w:eastAsia="zh-CN"/>
              </w:rPr>
            </w:pPr>
            <w:r>
              <w:rPr>
                <w:rFonts w:hint="eastAsia" w:ascii="Times New Roman" w:hAnsi="Times New Roman" w:cs="Times New Roman"/>
                <w:color w:val="000000" w:themeColor="text1"/>
                <w:sz w:val="21"/>
                <w:szCs w:val="21"/>
                <w:lang w:val="en-US" w:eastAsia="zh-CN"/>
              </w:rPr>
              <w:t>58.32</w:t>
            </w:r>
          </w:p>
        </w:tc>
        <w:tc>
          <w:tcPr>
            <w:tcW w:w="1348" w:type="dxa"/>
            <w:vAlign w:val="center"/>
          </w:tcPr>
          <w:p>
            <w:pPr>
              <w:jc w:val="center"/>
              <w:rPr>
                <w:szCs w:val="21"/>
              </w:rPr>
            </w:pPr>
            <w:r>
              <w:rPr>
                <w:rFonts w:hint="eastAsia"/>
                <w:szCs w:val="21"/>
              </w:rPr>
              <w:t>易燃易爆</w:t>
            </w:r>
          </w:p>
        </w:tc>
        <w:tc>
          <w:tcPr>
            <w:tcW w:w="924" w:type="dxa"/>
            <w:vAlign w:val="center"/>
          </w:tcPr>
          <w:p>
            <w:pPr>
              <w:jc w:val="center"/>
              <w:rPr>
                <w:szCs w:val="21"/>
              </w:rPr>
            </w:pPr>
            <w:r>
              <w:rPr>
                <w:szCs w:val="21"/>
              </w:rPr>
              <w:t>油罐区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07" w:type="dxa"/>
            <w:vAlign w:val="center"/>
          </w:tcPr>
          <w:p>
            <w:pPr>
              <w:jc w:val="center"/>
              <w:rPr>
                <w:szCs w:val="21"/>
              </w:rPr>
            </w:pPr>
            <w:r>
              <w:rPr>
                <w:rFonts w:hint="eastAsia"/>
                <w:szCs w:val="21"/>
              </w:rPr>
              <w:t>柴油</w:t>
            </w:r>
          </w:p>
        </w:tc>
        <w:tc>
          <w:tcPr>
            <w:tcW w:w="1060" w:type="dxa"/>
            <w:vAlign w:val="center"/>
          </w:tcPr>
          <w:p>
            <w:pPr>
              <w:jc w:val="center"/>
              <w:rPr>
                <w:szCs w:val="21"/>
              </w:rPr>
            </w:pPr>
            <w:r>
              <w:rPr>
                <w:rFonts w:hint="eastAsia"/>
                <w:szCs w:val="21"/>
              </w:rPr>
              <w:t>/</w:t>
            </w:r>
          </w:p>
        </w:tc>
        <w:tc>
          <w:tcPr>
            <w:tcW w:w="1067" w:type="dxa"/>
            <w:vAlign w:val="center"/>
          </w:tcPr>
          <w:p>
            <w:pPr>
              <w:jc w:val="center"/>
              <w:rPr>
                <w:szCs w:val="21"/>
              </w:rPr>
            </w:pPr>
            <w:r>
              <w:rPr>
                <w:rFonts w:hint="eastAsia"/>
                <w:szCs w:val="21"/>
                <w:lang w:val="en-US" w:eastAsia="zh-CN"/>
              </w:rPr>
              <w:t>50</w:t>
            </w:r>
            <w:r>
              <w:rPr>
                <w:szCs w:val="21"/>
              </w:rPr>
              <w:t>00t</w:t>
            </w:r>
          </w:p>
        </w:tc>
        <w:tc>
          <w:tcPr>
            <w:tcW w:w="1127" w:type="dxa"/>
            <w:vAlign w:val="center"/>
          </w:tcPr>
          <w:p>
            <w:pPr>
              <w:jc w:val="center"/>
              <w:rPr>
                <w:szCs w:val="21"/>
              </w:rPr>
            </w:pPr>
            <w:r>
              <w:rPr>
                <w:rFonts w:hint="eastAsia"/>
                <w:szCs w:val="21"/>
              </w:rPr>
              <w:t>/</w:t>
            </w:r>
          </w:p>
        </w:tc>
        <w:tc>
          <w:tcPr>
            <w:tcW w:w="1024" w:type="dxa"/>
            <w:vAlign w:val="center"/>
          </w:tcPr>
          <w:p>
            <w:pPr>
              <w:jc w:val="center"/>
              <w:rPr>
                <w:rFonts w:hint="default" w:eastAsia="宋体"/>
                <w:szCs w:val="21"/>
                <w:lang w:val="en-US" w:eastAsia="zh-CN"/>
              </w:rPr>
            </w:pPr>
            <w:r>
              <w:rPr>
                <w:rFonts w:hint="eastAsia" w:ascii="Times New Roman" w:hAnsi="Times New Roman" w:cs="Times New Roman"/>
                <w:color w:val="000000" w:themeColor="text1"/>
                <w:sz w:val="21"/>
                <w:szCs w:val="21"/>
                <w:lang w:val="en-US" w:eastAsia="zh-CN"/>
              </w:rPr>
              <w:t>22.41</w:t>
            </w:r>
          </w:p>
        </w:tc>
        <w:tc>
          <w:tcPr>
            <w:tcW w:w="1348" w:type="dxa"/>
            <w:vAlign w:val="center"/>
          </w:tcPr>
          <w:p>
            <w:pPr>
              <w:jc w:val="center"/>
              <w:rPr>
                <w:szCs w:val="21"/>
              </w:rPr>
            </w:pPr>
            <w:r>
              <w:rPr>
                <w:rFonts w:hint="eastAsia"/>
                <w:szCs w:val="21"/>
              </w:rPr>
              <w:t>/</w:t>
            </w:r>
            <w:r>
              <w:rPr>
                <w:szCs w:val="21"/>
              </w:rPr>
              <w:t>/</w:t>
            </w:r>
          </w:p>
        </w:tc>
        <w:tc>
          <w:tcPr>
            <w:tcW w:w="924" w:type="dxa"/>
            <w:vAlign w:val="center"/>
          </w:tcPr>
          <w:p>
            <w:pPr>
              <w:jc w:val="center"/>
              <w:rPr>
                <w:szCs w:val="21"/>
              </w:rPr>
            </w:pPr>
            <w:r>
              <w:rPr>
                <w:rFonts w:hint="eastAsia"/>
                <w:szCs w:val="21"/>
              </w:rPr>
              <w:t>油罐区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007" w:type="dxa"/>
            <w:vAlign w:val="center"/>
          </w:tcPr>
          <w:p>
            <w:pPr>
              <w:jc w:val="center"/>
              <w:rPr>
                <w:szCs w:val="21"/>
              </w:rPr>
            </w:pPr>
          </w:p>
        </w:tc>
        <w:tc>
          <w:tcPr>
            <w:tcW w:w="4278" w:type="dxa"/>
            <w:gridSpan w:val="4"/>
            <w:vAlign w:val="center"/>
          </w:tcPr>
          <w:p>
            <w:pPr>
              <w:jc w:val="center"/>
              <w:rPr>
                <w:szCs w:val="21"/>
              </w:rPr>
            </w:pPr>
            <w:r>
              <w:rPr>
                <w:rFonts w:hint="eastAsia" w:ascii="Times New Roman" w:hAnsi="Times New Roman" w:cs="Times New Roman"/>
                <w:color w:val="000000" w:themeColor="text1"/>
                <w:sz w:val="21"/>
                <w:szCs w:val="21"/>
                <w:lang w:val="en-US" w:eastAsia="zh-CN"/>
              </w:rPr>
              <w:t>58.32/200 + 22.41/5000 =0.295</w:t>
            </w:r>
            <w:r>
              <w:rPr>
                <w:szCs w:val="21"/>
              </w:rPr>
              <w:t>＜1</w:t>
            </w:r>
          </w:p>
        </w:tc>
        <w:tc>
          <w:tcPr>
            <w:tcW w:w="1348" w:type="dxa"/>
            <w:vAlign w:val="center"/>
          </w:tcPr>
          <w:p>
            <w:pPr>
              <w:jc w:val="center"/>
              <w:rPr>
                <w:szCs w:val="21"/>
              </w:rPr>
            </w:pPr>
            <w:r>
              <w:rPr>
                <w:szCs w:val="21"/>
              </w:rPr>
              <w:t>否</w:t>
            </w:r>
          </w:p>
        </w:tc>
        <w:tc>
          <w:tcPr>
            <w:tcW w:w="924" w:type="dxa"/>
            <w:vAlign w:val="center"/>
          </w:tcPr>
          <w:p>
            <w:pPr>
              <w:jc w:val="center"/>
              <w:rPr>
                <w:szCs w:val="21"/>
              </w:rPr>
            </w:pPr>
          </w:p>
        </w:tc>
      </w:tr>
    </w:tbl>
    <w:p>
      <w:pPr>
        <w:autoSpaceDE w:val="0"/>
        <w:autoSpaceDN w:val="0"/>
        <w:adjustRightInd w:val="0"/>
        <w:spacing w:line="360" w:lineRule="auto"/>
        <w:ind w:firstLine="420" w:firstLineChars="0"/>
        <w:rPr>
          <w:sz w:val="24"/>
        </w:rPr>
      </w:pPr>
      <w:r>
        <w:rPr>
          <w:spacing w:val="1"/>
          <w:kern w:val="0"/>
          <w:sz w:val="24"/>
        </w:rPr>
        <w:t>加油站运营</w:t>
      </w:r>
      <w:r>
        <w:rPr>
          <w:sz w:val="24"/>
        </w:rPr>
        <w:t>过程产生的污染物环境风险物质主要有污油、油泥、油渣、生活污水等，各类物质的数量详见表3-5所示。</w:t>
      </w:r>
    </w:p>
    <w:p>
      <w:pPr>
        <w:snapToGrid w:val="0"/>
        <w:jc w:val="center"/>
        <w:rPr>
          <w:b/>
          <w:bCs/>
          <w:szCs w:val="21"/>
        </w:rPr>
      </w:pPr>
      <w:r>
        <w:rPr>
          <w:b/>
          <w:bCs/>
          <w:spacing w:val="1"/>
          <w:kern w:val="0"/>
          <w:szCs w:val="21"/>
        </w:rPr>
        <w:t>表3-5    环境风险物质的种类及数量（污染物）</w:t>
      </w:r>
      <w:r>
        <w:rPr>
          <w:b/>
          <w:bCs/>
          <w:szCs w:val="21"/>
        </w:rPr>
        <w:t>及处置情况</w:t>
      </w:r>
    </w:p>
    <w:tbl>
      <w:tblPr>
        <w:tblStyle w:val="14"/>
        <w:tblW w:w="8335" w:type="dxa"/>
        <w:tblInd w:w="1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5"/>
        <w:gridCol w:w="1267"/>
        <w:gridCol w:w="2015"/>
        <w:gridCol w:w="2783"/>
        <w:gridCol w:w="16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655" w:type="dxa"/>
          </w:tcPr>
          <w:p>
            <w:pPr>
              <w:adjustRightInd w:val="0"/>
              <w:snapToGrid w:val="0"/>
              <w:spacing w:line="360" w:lineRule="exact"/>
              <w:jc w:val="center"/>
              <w:rPr>
                <w:b/>
                <w:kern w:val="0"/>
                <w:szCs w:val="21"/>
              </w:rPr>
            </w:pPr>
            <w:r>
              <w:rPr>
                <w:rFonts w:hAnsi="宋体"/>
                <w:b/>
                <w:kern w:val="0"/>
                <w:szCs w:val="21"/>
              </w:rPr>
              <w:t>时段</w:t>
            </w:r>
          </w:p>
        </w:tc>
        <w:tc>
          <w:tcPr>
            <w:tcW w:w="1267" w:type="dxa"/>
            <w:vAlign w:val="center"/>
          </w:tcPr>
          <w:p>
            <w:pPr>
              <w:adjustRightInd w:val="0"/>
              <w:snapToGrid w:val="0"/>
              <w:spacing w:line="360" w:lineRule="exact"/>
              <w:jc w:val="center"/>
              <w:rPr>
                <w:b/>
                <w:kern w:val="0"/>
                <w:szCs w:val="21"/>
              </w:rPr>
            </w:pPr>
            <w:r>
              <w:rPr>
                <w:rFonts w:hAnsi="宋体"/>
                <w:b/>
                <w:kern w:val="0"/>
                <w:szCs w:val="21"/>
              </w:rPr>
              <w:t>污染因子</w:t>
            </w:r>
          </w:p>
        </w:tc>
        <w:tc>
          <w:tcPr>
            <w:tcW w:w="2015" w:type="dxa"/>
            <w:vAlign w:val="center"/>
          </w:tcPr>
          <w:p>
            <w:pPr>
              <w:adjustRightInd w:val="0"/>
              <w:snapToGrid w:val="0"/>
              <w:spacing w:line="360" w:lineRule="exact"/>
              <w:jc w:val="center"/>
              <w:rPr>
                <w:b/>
                <w:kern w:val="0"/>
                <w:szCs w:val="21"/>
              </w:rPr>
            </w:pPr>
            <w:r>
              <w:rPr>
                <w:rFonts w:hAnsi="宋体"/>
                <w:b/>
                <w:kern w:val="0"/>
                <w:szCs w:val="21"/>
              </w:rPr>
              <w:t>来源</w:t>
            </w:r>
          </w:p>
        </w:tc>
        <w:tc>
          <w:tcPr>
            <w:tcW w:w="2783" w:type="dxa"/>
            <w:vAlign w:val="center"/>
          </w:tcPr>
          <w:p>
            <w:pPr>
              <w:adjustRightInd w:val="0"/>
              <w:snapToGrid w:val="0"/>
              <w:spacing w:line="360" w:lineRule="exact"/>
              <w:jc w:val="center"/>
              <w:rPr>
                <w:b/>
                <w:kern w:val="0"/>
                <w:szCs w:val="21"/>
              </w:rPr>
            </w:pPr>
            <w:r>
              <w:rPr>
                <w:rFonts w:hAnsi="宋体"/>
                <w:b/>
                <w:kern w:val="0"/>
                <w:szCs w:val="21"/>
              </w:rPr>
              <w:t>污染物种类</w:t>
            </w:r>
          </w:p>
        </w:tc>
        <w:tc>
          <w:tcPr>
            <w:tcW w:w="1615" w:type="dxa"/>
            <w:vAlign w:val="center"/>
          </w:tcPr>
          <w:p>
            <w:pPr>
              <w:adjustRightInd w:val="0"/>
              <w:snapToGrid w:val="0"/>
              <w:spacing w:line="360" w:lineRule="exact"/>
              <w:jc w:val="center"/>
              <w:rPr>
                <w:b/>
                <w:kern w:val="0"/>
                <w:szCs w:val="21"/>
              </w:rPr>
            </w:pPr>
            <w:r>
              <w:rPr>
                <w:rFonts w:hAnsi="宋体"/>
                <w:b/>
                <w:kern w:val="0"/>
                <w:szCs w:val="21"/>
              </w:rPr>
              <w:t>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55" w:type="dxa"/>
            <w:vMerge w:val="restart"/>
            <w:vAlign w:val="center"/>
          </w:tcPr>
          <w:p>
            <w:pPr>
              <w:adjustRightInd w:val="0"/>
              <w:snapToGrid w:val="0"/>
              <w:spacing w:line="360" w:lineRule="exact"/>
              <w:jc w:val="center"/>
              <w:rPr>
                <w:kern w:val="0"/>
                <w:szCs w:val="21"/>
              </w:rPr>
            </w:pPr>
            <w:r>
              <w:rPr>
                <w:rFonts w:hAnsi="宋体"/>
                <w:kern w:val="0"/>
                <w:szCs w:val="21"/>
              </w:rPr>
              <w:t>营</w:t>
            </w:r>
          </w:p>
          <w:p>
            <w:pPr>
              <w:adjustRightInd w:val="0"/>
              <w:snapToGrid w:val="0"/>
              <w:spacing w:line="360" w:lineRule="exact"/>
              <w:jc w:val="center"/>
              <w:rPr>
                <w:kern w:val="0"/>
                <w:szCs w:val="21"/>
              </w:rPr>
            </w:pPr>
            <w:r>
              <w:rPr>
                <w:rFonts w:hAnsi="宋体"/>
                <w:kern w:val="0"/>
                <w:szCs w:val="21"/>
              </w:rPr>
              <w:t>运</w:t>
            </w:r>
          </w:p>
          <w:p>
            <w:pPr>
              <w:adjustRightInd w:val="0"/>
              <w:snapToGrid w:val="0"/>
              <w:spacing w:line="360" w:lineRule="exact"/>
              <w:jc w:val="center"/>
              <w:rPr>
                <w:kern w:val="0"/>
                <w:szCs w:val="21"/>
              </w:rPr>
            </w:pPr>
            <w:r>
              <w:rPr>
                <w:rFonts w:hAnsi="宋体"/>
                <w:kern w:val="0"/>
                <w:szCs w:val="21"/>
              </w:rPr>
              <w:t>期</w:t>
            </w:r>
          </w:p>
        </w:tc>
        <w:tc>
          <w:tcPr>
            <w:tcW w:w="1267" w:type="dxa"/>
            <w:vMerge w:val="restart"/>
            <w:vAlign w:val="center"/>
          </w:tcPr>
          <w:p>
            <w:pPr>
              <w:adjustRightInd w:val="0"/>
              <w:snapToGrid w:val="0"/>
              <w:spacing w:line="360" w:lineRule="exact"/>
              <w:jc w:val="center"/>
              <w:rPr>
                <w:kern w:val="0"/>
                <w:szCs w:val="21"/>
              </w:rPr>
            </w:pPr>
            <w:r>
              <w:rPr>
                <w:rFonts w:hAnsi="宋体"/>
                <w:kern w:val="0"/>
                <w:szCs w:val="21"/>
              </w:rPr>
              <w:t>废气</w:t>
            </w:r>
          </w:p>
        </w:tc>
        <w:tc>
          <w:tcPr>
            <w:tcW w:w="2015" w:type="dxa"/>
            <w:vAlign w:val="center"/>
          </w:tcPr>
          <w:p>
            <w:pPr>
              <w:adjustRightInd w:val="0"/>
              <w:snapToGrid w:val="0"/>
              <w:spacing w:line="360" w:lineRule="exact"/>
              <w:jc w:val="center"/>
              <w:rPr>
                <w:kern w:val="0"/>
                <w:szCs w:val="21"/>
              </w:rPr>
            </w:pPr>
            <w:r>
              <w:rPr>
                <w:rFonts w:hAnsi="宋体"/>
                <w:kern w:val="0"/>
                <w:szCs w:val="21"/>
              </w:rPr>
              <w:t>加油机、油罐</w:t>
            </w:r>
          </w:p>
        </w:tc>
        <w:tc>
          <w:tcPr>
            <w:tcW w:w="2783" w:type="dxa"/>
            <w:vAlign w:val="center"/>
          </w:tcPr>
          <w:p>
            <w:pPr>
              <w:adjustRightInd w:val="0"/>
              <w:snapToGrid w:val="0"/>
              <w:spacing w:line="360" w:lineRule="exact"/>
              <w:jc w:val="center"/>
              <w:rPr>
                <w:kern w:val="0"/>
                <w:szCs w:val="21"/>
              </w:rPr>
            </w:pPr>
            <w:r>
              <w:rPr>
                <w:rFonts w:hAnsi="宋体"/>
                <w:kern w:val="0"/>
                <w:szCs w:val="21"/>
              </w:rPr>
              <w:t>非甲烷总烃</w:t>
            </w:r>
          </w:p>
        </w:tc>
        <w:tc>
          <w:tcPr>
            <w:tcW w:w="1615" w:type="dxa"/>
            <w:vAlign w:val="center"/>
          </w:tcPr>
          <w:p>
            <w:pPr>
              <w:adjustRightInd w:val="0"/>
              <w:snapToGrid w:val="0"/>
              <w:spacing w:line="360" w:lineRule="exact"/>
              <w:jc w:val="center"/>
              <w:rPr>
                <w:kern w:val="0"/>
                <w:szCs w:val="21"/>
              </w:rPr>
            </w:pPr>
            <w:r>
              <w:rPr>
                <w:rFonts w:hAnsi="宋体"/>
                <w:kern w:val="0"/>
                <w:szCs w:val="21"/>
              </w:rPr>
              <w:t>间断、无组织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55" w:type="dxa"/>
            <w:vMerge w:val="continue"/>
            <w:vAlign w:val="center"/>
          </w:tcPr>
          <w:p>
            <w:pPr>
              <w:adjustRightInd w:val="0"/>
              <w:snapToGrid w:val="0"/>
              <w:spacing w:line="360" w:lineRule="exact"/>
              <w:jc w:val="center"/>
              <w:rPr>
                <w:kern w:val="0"/>
                <w:szCs w:val="21"/>
              </w:rPr>
            </w:pPr>
          </w:p>
        </w:tc>
        <w:tc>
          <w:tcPr>
            <w:tcW w:w="1267" w:type="dxa"/>
            <w:vMerge w:val="continue"/>
            <w:vAlign w:val="center"/>
          </w:tcPr>
          <w:p>
            <w:pPr>
              <w:adjustRightInd w:val="0"/>
              <w:snapToGrid w:val="0"/>
              <w:spacing w:line="360" w:lineRule="exact"/>
              <w:jc w:val="center"/>
              <w:rPr>
                <w:kern w:val="0"/>
                <w:szCs w:val="21"/>
              </w:rPr>
            </w:pPr>
          </w:p>
        </w:tc>
        <w:tc>
          <w:tcPr>
            <w:tcW w:w="2015" w:type="dxa"/>
            <w:vAlign w:val="center"/>
          </w:tcPr>
          <w:p>
            <w:pPr>
              <w:adjustRightInd w:val="0"/>
              <w:snapToGrid w:val="0"/>
              <w:spacing w:line="360" w:lineRule="exact"/>
              <w:jc w:val="center"/>
              <w:rPr>
                <w:kern w:val="0"/>
                <w:szCs w:val="21"/>
              </w:rPr>
            </w:pPr>
            <w:r>
              <w:rPr>
                <w:rFonts w:hAnsi="宋体"/>
                <w:kern w:val="0"/>
                <w:szCs w:val="21"/>
              </w:rPr>
              <w:t>备用发电机</w:t>
            </w:r>
          </w:p>
        </w:tc>
        <w:tc>
          <w:tcPr>
            <w:tcW w:w="2783" w:type="dxa"/>
            <w:vAlign w:val="center"/>
          </w:tcPr>
          <w:p>
            <w:pPr>
              <w:adjustRightInd w:val="0"/>
              <w:snapToGrid w:val="0"/>
              <w:spacing w:line="360" w:lineRule="exact"/>
              <w:jc w:val="center"/>
              <w:rPr>
                <w:kern w:val="0"/>
                <w:szCs w:val="21"/>
              </w:rPr>
            </w:pPr>
            <w:r>
              <w:rPr>
                <w:spacing w:val="3"/>
                <w:szCs w:val="21"/>
              </w:rPr>
              <w:t>PM</w:t>
            </w:r>
            <w:r>
              <w:rPr>
                <w:rFonts w:hAnsi="宋体"/>
                <w:spacing w:val="3"/>
                <w:szCs w:val="21"/>
              </w:rPr>
              <w:t>、</w:t>
            </w:r>
            <w:r>
              <w:rPr>
                <w:spacing w:val="3"/>
                <w:szCs w:val="21"/>
              </w:rPr>
              <w:t>HC</w:t>
            </w:r>
            <w:r>
              <w:rPr>
                <w:rFonts w:hAnsi="宋体"/>
                <w:spacing w:val="3"/>
                <w:szCs w:val="21"/>
              </w:rPr>
              <w:t>、</w:t>
            </w:r>
            <w:r>
              <w:rPr>
                <w:spacing w:val="3"/>
                <w:szCs w:val="21"/>
              </w:rPr>
              <w:t>NOx</w:t>
            </w:r>
          </w:p>
        </w:tc>
        <w:tc>
          <w:tcPr>
            <w:tcW w:w="1615" w:type="dxa"/>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55" w:type="dxa"/>
            <w:vMerge w:val="continue"/>
            <w:vAlign w:val="center"/>
          </w:tcPr>
          <w:p>
            <w:pPr>
              <w:adjustRightInd w:val="0"/>
              <w:snapToGrid w:val="0"/>
              <w:spacing w:line="360" w:lineRule="exact"/>
              <w:jc w:val="center"/>
              <w:rPr>
                <w:kern w:val="0"/>
                <w:szCs w:val="21"/>
              </w:rPr>
            </w:pPr>
          </w:p>
        </w:tc>
        <w:tc>
          <w:tcPr>
            <w:tcW w:w="1267" w:type="dxa"/>
            <w:vMerge w:val="restart"/>
            <w:vAlign w:val="center"/>
          </w:tcPr>
          <w:p>
            <w:pPr>
              <w:adjustRightInd w:val="0"/>
              <w:snapToGrid w:val="0"/>
              <w:spacing w:line="360" w:lineRule="exact"/>
              <w:jc w:val="center"/>
              <w:rPr>
                <w:kern w:val="0"/>
                <w:szCs w:val="21"/>
              </w:rPr>
            </w:pPr>
            <w:r>
              <w:rPr>
                <w:rFonts w:hAnsi="宋体"/>
                <w:kern w:val="0"/>
                <w:szCs w:val="21"/>
              </w:rPr>
              <w:t>废水</w:t>
            </w:r>
          </w:p>
        </w:tc>
        <w:tc>
          <w:tcPr>
            <w:tcW w:w="2015" w:type="dxa"/>
            <w:vAlign w:val="center"/>
          </w:tcPr>
          <w:p>
            <w:pPr>
              <w:adjustRightInd w:val="0"/>
              <w:snapToGrid w:val="0"/>
              <w:spacing w:line="360" w:lineRule="exact"/>
              <w:jc w:val="center"/>
              <w:rPr>
                <w:kern w:val="0"/>
                <w:szCs w:val="21"/>
              </w:rPr>
            </w:pPr>
            <w:r>
              <w:rPr>
                <w:rFonts w:hAnsi="宋体"/>
                <w:kern w:val="0"/>
                <w:szCs w:val="21"/>
              </w:rPr>
              <w:t>办公</w:t>
            </w:r>
          </w:p>
        </w:tc>
        <w:tc>
          <w:tcPr>
            <w:tcW w:w="2783" w:type="dxa"/>
            <w:vAlign w:val="center"/>
          </w:tcPr>
          <w:p>
            <w:pPr>
              <w:adjustRightInd w:val="0"/>
              <w:snapToGrid w:val="0"/>
              <w:spacing w:line="360" w:lineRule="exact"/>
              <w:jc w:val="center"/>
              <w:rPr>
                <w:spacing w:val="3"/>
                <w:szCs w:val="21"/>
              </w:rPr>
            </w:pPr>
            <w:r>
              <w:rPr>
                <w:spacing w:val="3"/>
                <w:szCs w:val="21"/>
              </w:rPr>
              <w:t>COD</w:t>
            </w:r>
            <w:r>
              <w:rPr>
                <w:spacing w:val="3"/>
                <w:szCs w:val="21"/>
                <w:vertAlign w:val="subscript"/>
              </w:rPr>
              <w:t>cr</w:t>
            </w:r>
            <w:r>
              <w:rPr>
                <w:rFonts w:hAnsi="宋体"/>
                <w:spacing w:val="3"/>
                <w:szCs w:val="21"/>
              </w:rPr>
              <w:t>、</w:t>
            </w:r>
            <w:r>
              <w:rPr>
                <w:spacing w:val="3"/>
                <w:szCs w:val="21"/>
              </w:rPr>
              <w:t>BOD</w:t>
            </w:r>
            <w:r>
              <w:rPr>
                <w:spacing w:val="3"/>
                <w:szCs w:val="21"/>
                <w:vertAlign w:val="subscript"/>
              </w:rPr>
              <w:t>5</w:t>
            </w:r>
            <w:r>
              <w:rPr>
                <w:rFonts w:hAnsi="宋体"/>
                <w:spacing w:val="3"/>
                <w:szCs w:val="21"/>
              </w:rPr>
              <w:t>、</w:t>
            </w:r>
            <w:r>
              <w:rPr>
                <w:spacing w:val="3"/>
                <w:szCs w:val="21"/>
              </w:rPr>
              <w:t>SS</w:t>
            </w:r>
            <w:r>
              <w:rPr>
                <w:rFonts w:hAnsi="宋体"/>
                <w:spacing w:val="3"/>
                <w:szCs w:val="21"/>
              </w:rPr>
              <w:t>、</w:t>
            </w:r>
            <w:r>
              <w:rPr>
                <w:rFonts w:hAnsi="宋体"/>
                <w:color w:val="000000" w:themeColor="text1"/>
                <w:spacing w:val="3"/>
                <w:szCs w:val="21"/>
              </w:rPr>
              <w:t>氨氮</w:t>
            </w:r>
            <w:r>
              <w:rPr>
                <w:rFonts w:hint="eastAsia" w:hAnsi="宋体"/>
                <w:color w:val="000000" w:themeColor="text1"/>
                <w:spacing w:val="3"/>
                <w:szCs w:val="21"/>
              </w:rPr>
              <w:t>、石油类</w:t>
            </w:r>
          </w:p>
        </w:tc>
        <w:tc>
          <w:tcPr>
            <w:tcW w:w="1615" w:type="dxa"/>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55" w:type="dxa"/>
            <w:vMerge w:val="continue"/>
            <w:vAlign w:val="center"/>
          </w:tcPr>
          <w:p>
            <w:pPr>
              <w:adjustRightInd w:val="0"/>
              <w:snapToGrid w:val="0"/>
              <w:spacing w:line="360" w:lineRule="exact"/>
              <w:jc w:val="center"/>
              <w:rPr>
                <w:kern w:val="0"/>
                <w:szCs w:val="21"/>
              </w:rPr>
            </w:pPr>
          </w:p>
        </w:tc>
        <w:tc>
          <w:tcPr>
            <w:tcW w:w="1267" w:type="dxa"/>
            <w:vMerge w:val="continue"/>
            <w:vAlign w:val="center"/>
          </w:tcPr>
          <w:p>
            <w:pPr>
              <w:adjustRightInd w:val="0"/>
              <w:snapToGrid w:val="0"/>
              <w:spacing w:line="360" w:lineRule="exact"/>
              <w:jc w:val="center"/>
              <w:rPr>
                <w:kern w:val="0"/>
                <w:szCs w:val="21"/>
              </w:rPr>
            </w:pPr>
          </w:p>
        </w:tc>
        <w:tc>
          <w:tcPr>
            <w:tcW w:w="2015" w:type="dxa"/>
            <w:vAlign w:val="center"/>
          </w:tcPr>
          <w:p>
            <w:pPr>
              <w:adjustRightInd w:val="0"/>
              <w:snapToGrid w:val="0"/>
              <w:spacing w:line="360" w:lineRule="exact"/>
              <w:jc w:val="center"/>
              <w:rPr>
                <w:kern w:val="0"/>
                <w:szCs w:val="21"/>
              </w:rPr>
            </w:pPr>
            <w:r>
              <w:rPr>
                <w:rFonts w:hAnsi="宋体"/>
                <w:kern w:val="0"/>
                <w:szCs w:val="21"/>
              </w:rPr>
              <w:t>地面冲洗</w:t>
            </w:r>
          </w:p>
        </w:tc>
        <w:tc>
          <w:tcPr>
            <w:tcW w:w="2783" w:type="dxa"/>
            <w:vAlign w:val="center"/>
          </w:tcPr>
          <w:p>
            <w:pPr>
              <w:adjustRightInd w:val="0"/>
              <w:snapToGrid w:val="0"/>
              <w:spacing w:line="360" w:lineRule="exact"/>
              <w:jc w:val="center"/>
              <w:rPr>
                <w:spacing w:val="3"/>
                <w:szCs w:val="21"/>
              </w:rPr>
            </w:pPr>
            <w:r>
              <w:rPr>
                <w:spacing w:val="3"/>
                <w:szCs w:val="21"/>
              </w:rPr>
              <w:t>COD</w:t>
            </w:r>
            <w:r>
              <w:rPr>
                <w:spacing w:val="3"/>
                <w:szCs w:val="21"/>
                <w:vertAlign w:val="subscript"/>
              </w:rPr>
              <w:t>cr</w:t>
            </w:r>
            <w:r>
              <w:rPr>
                <w:rFonts w:hAnsi="宋体"/>
                <w:spacing w:val="3"/>
                <w:szCs w:val="21"/>
              </w:rPr>
              <w:t>、</w:t>
            </w:r>
            <w:r>
              <w:rPr>
                <w:spacing w:val="3"/>
                <w:szCs w:val="21"/>
              </w:rPr>
              <w:t>SS</w:t>
            </w:r>
            <w:r>
              <w:rPr>
                <w:rFonts w:hAnsi="宋体"/>
                <w:spacing w:val="3"/>
                <w:szCs w:val="21"/>
              </w:rPr>
              <w:t>、石油类</w:t>
            </w:r>
          </w:p>
        </w:tc>
        <w:tc>
          <w:tcPr>
            <w:tcW w:w="1615" w:type="dxa"/>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55" w:type="dxa"/>
            <w:vMerge w:val="continue"/>
          </w:tcPr>
          <w:p>
            <w:pPr>
              <w:adjustRightInd w:val="0"/>
              <w:snapToGrid w:val="0"/>
              <w:spacing w:line="360" w:lineRule="exact"/>
              <w:jc w:val="center"/>
              <w:rPr>
                <w:kern w:val="0"/>
                <w:szCs w:val="21"/>
              </w:rPr>
            </w:pPr>
          </w:p>
        </w:tc>
        <w:tc>
          <w:tcPr>
            <w:tcW w:w="1267" w:type="dxa"/>
            <w:vMerge w:val="restart"/>
            <w:vAlign w:val="center"/>
          </w:tcPr>
          <w:p>
            <w:pPr>
              <w:adjustRightInd w:val="0"/>
              <w:snapToGrid w:val="0"/>
              <w:spacing w:line="360" w:lineRule="exact"/>
              <w:jc w:val="center"/>
              <w:rPr>
                <w:kern w:val="0"/>
                <w:szCs w:val="21"/>
              </w:rPr>
            </w:pPr>
            <w:r>
              <w:rPr>
                <w:rFonts w:hAnsi="宋体"/>
                <w:kern w:val="0"/>
                <w:szCs w:val="21"/>
              </w:rPr>
              <w:t>噪声</w:t>
            </w:r>
          </w:p>
        </w:tc>
        <w:tc>
          <w:tcPr>
            <w:tcW w:w="2015" w:type="dxa"/>
            <w:vAlign w:val="center"/>
          </w:tcPr>
          <w:p>
            <w:pPr>
              <w:adjustRightInd w:val="0"/>
              <w:snapToGrid w:val="0"/>
              <w:spacing w:line="360" w:lineRule="exact"/>
              <w:jc w:val="center"/>
              <w:rPr>
                <w:kern w:val="0"/>
                <w:szCs w:val="21"/>
              </w:rPr>
            </w:pPr>
            <w:r>
              <w:rPr>
                <w:rFonts w:hAnsi="宋体"/>
                <w:kern w:val="0"/>
                <w:szCs w:val="21"/>
              </w:rPr>
              <w:t>加油机、发电机</w:t>
            </w:r>
          </w:p>
        </w:tc>
        <w:tc>
          <w:tcPr>
            <w:tcW w:w="2783" w:type="dxa"/>
            <w:vAlign w:val="center"/>
          </w:tcPr>
          <w:p>
            <w:pPr>
              <w:adjustRightInd w:val="0"/>
              <w:snapToGrid w:val="0"/>
              <w:spacing w:line="360" w:lineRule="exact"/>
              <w:jc w:val="center"/>
              <w:rPr>
                <w:kern w:val="0"/>
                <w:szCs w:val="21"/>
              </w:rPr>
            </w:pPr>
            <w:r>
              <w:rPr>
                <w:rFonts w:hAnsi="宋体"/>
                <w:kern w:val="0"/>
                <w:szCs w:val="21"/>
              </w:rPr>
              <w:t>设备噪声</w:t>
            </w:r>
          </w:p>
        </w:tc>
        <w:tc>
          <w:tcPr>
            <w:tcW w:w="1615" w:type="dxa"/>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55" w:type="dxa"/>
            <w:vMerge w:val="continue"/>
          </w:tcPr>
          <w:p>
            <w:pPr>
              <w:adjustRightInd w:val="0"/>
              <w:snapToGrid w:val="0"/>
              <w:spacing w:line="360" w:lineRule="exact"/>
              <w:jc w:val="center"/>
              <w:rPr>
                <w:kern w:val="0"/>
                <w:szCs w:val="21"/>
              </w:rPr>
            </w:pPr>
          </w:p>
        </w:tc>
        <w:tc>
          <w:tcPr>
            <w:tcW w:w="1267" w:type="dxa"/>
            <w:vMerge w:val="continue"/>
            <w:vAlign w:val="center"/>
          </w:tcPr>
          <w:p>
            <w:pPr>
              <w:adjustRightInd w:val="0"/>
              <w:snapToGrid w:val="0"/>
              <w:spacing w:line="360" w:lineRule="exact"/>
              <w:jc w:val="center"/>
              <w:rPr>
                <w:kern w:val="0"/>
                <w:szCs w:val="21"/>
              </w:rPr>
            </w:pPr>
          </w:p>
        </w:tc>
        <w:tc>
          <w:tcPr>
            <w:tcW w:w="2015" w:type="dxa"/>
            <w:vAlign w:val="center"/>
          </w:tcPr>
          <w:p>
            <w:pPr>
              <w:adjustRightInd w:val="0"/>
              <w:snapToGrid w:val="0"/>
              <w:spacing w:line="360" w:lineRule="exact"/>
              <w:jc w:val="center"/>
              <w:rPr>
                <w:kern w:val="0"/>
                <w:szCs w:val="21"/>
              </w:rPr>
            </w:pPr>
            <w:r>
              <w:rPr>
                <w:rFonts w:hAnsi="宋体"/>
                <w:kern w:val="0"/>
                <w:szCs w:val="21"/>
              </w:rPr>
              <w:t>来往车辆</w:t>
            </w:r>
          </w:p>
        </w:tc>
        <w:tc>
          <w:tcPr>
            <w:tcW w:w="2783" w:type="dxa"/>
            <w:vAlign w:val="center"/>
          </w:tcPr>
          <w:p>
            <w:pPr>
              <w:adjustRightInd w:val="0"/>
              <w:snapToGrid w:val="0"/>
              <w:spacing w:line="360" w:lineRule="exact"/>
              <w:jc w:val="center"/>
              <w:rPr>
                <w:kern w:val="0"/>
                <w:szCs w:val="21"/>
              </w:rPr>
            </w:pPr>
            <w:r>
              <w:rPr>
                <w:rFonts w:hAnsi="宋体"/>
                <w:kern w:val="0"/>
                <w:szCs w:val="21"/>
              </w:rPr>
              <w:t>交通噪声</w:t>
            </w:r>
          </w:p>
        </w:tc>
        <w:tc>
          <w:tcPr>
            <w:tcW w:w="1615" w:type="dxa"/>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55" w:type="dxa"/>
            <w:vMerge w:val="continue"/>
          </w:tcPr>
          <w:p>
            <w:pPr>
              <w:adjustRightInd w:val="0"/>
              <w:snapToGrid w:val="0"/>
              <w:spacing w:line="360" w:lineRule="exact"/>
              <w:jc w:val="center"/>
              <w:rPr>
                <w:kern w:val="0"/>
                <w:szCs w:val="21"/>
              </w:rPr>
            </w:pPr>
          </w:p>
        </w:tc>
        <w:tc>
          <w:tcPr>
            <w:tcW w:w="1267" w:type="dxa"/>
            <w:vMerge w:val="restart"/>
            <w:vAlign w:val="center"/>
          </w:tcPr>
          <w:p>
            <w:pPr>
              <w:adjustRightInd w:val="0"/>
              <w:snapToGrid w:val="0"/>
              <w:spacing w:line="360" w:lineRule="exact"/>
              <w:jc w:val="center"/>
              <w:rPr>
                <w:kern w:val="0"/>
                <w:szCs w:val="21"/>
              </w:rPr>
            </w:pPr>
            <w:r>
              <w:rPr>
                <w:rFonts w:hAnsi="宋体"/>
                <w:kern w:val="0"/>
                <w:szCs w:val="21"/>
              </w:rPr>
              <w:t>固体废物</w:t>
            </w:r>
          </w:p>
        </w:tc>
        <w:tc>
          <w:tcPr>
            <w:tcW w:w="2015" w:type="dxa"/>
            <w:vAlign w:val="center"/>
          </w:tcPr>
          <w:p>
            <w:pPr>
              <w:adjustRightInd w:val="0"/>
              <w:snapToGrid w:val="0"/>
              <w:spacing w:line="360" w:lineRule="exact"/>
              <w:jc w:val="center"/>
              <w:rPr>
                <w:kern w:val="0"/>
                <w:szCs w:val="21"/>
              </w:rPr>
            </w:pPr>
            <w:r>
              <w:rPr>
                <w:rFonts w:hAnsi="宋体"/>
                <w:kern w:val="0"/>
                <w:szCs w:val="21"/>
              </w:rPr>
              <w:t>来往车辆</w:t>
            </w:r>
          </w:p>
        </w:tc>
        <w:tc>
          <w:tcPr>
            <w:tcW w:w="2783" w:type="dxa"/>
            <w:vAlign w:val="center"/>
          </w:tcPr>
          <w:p>
            <w:pPr>
              <w:adjustRightInd w:val="0"/>
              <w:snapToGrid w:val="0"/>
              <w:spacing w:line="360" w:lineRule="exact"/>
              <w:jc w:val="center"/>
              <w:rPr>
                <w:kern w:val="0"/>
                <w:szCs w:val="21"/>
              </w:rPr>
            </w:pPr>
            <w:r>
              <w:rPr>
                <w:rFonts w:hAnsi="宋体"/>
                <w:kern w:val="0"/>
                <w:szCs w:val="21"/>
              </w:rPr>
              <w:t>生活垃圾</w:t>
            </w:r>
          </w:p>
        </w:tc>
        <w:tc>
          <w:tcPr>
            <w:tcW w:w="1615" w:type="dxa"/>
            <w:vAlign w:val="center"/>
          </w:tcPr>
          <w:p>
            <w:pPr>
              <w:adjustRightInd w:val="0"/>
              <w:snapToGrid w:val="0"/>
              <w:spacing w:line="360" w:lineRule="exact"/>
              <w:jc w:val="center"/>
              <w:rPr>
                <w:i/>
                <w:kern w:val="0"/>
                <w:szCs w:val="21"/>
              </w:rPr>
            </w:pPr>
            <w:r>
              <w:rPr>
                <w:rFonts w:hAnsi="宋体"/>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55" w:type="dxa"/>
            <w:vMerge w:val="continue"/>
          </w:tcPr>
          <w:p>
            <w:pPr>
              <w:adjustRightInd w:val="0"/>
              <w:snapToGrid w:val="0"/>
              <w:spacing w:line="360" w:lineRule="exact"/>
              <w:jc w:val="center"/>
              <w:rPr>
                <w:kern w:val="0"/>
                <w:szCs w:val="21"/>
              </w:rPr>
            </w:pPr>
          </w:p>
        </w:tc>
        <w:tc>
          <w:tcPr>
            <w:tcW w:w="1267" w:type="dxa"/>
            <w:vMerge w:val="continue"/>
            <w:vAlign w:val="center"/>
          </w:tcPr>
          <w:p>
            <w:pPr>
              <w:adjustRightInd w:val="0"/>
              <w:snapToGrid w:val="0"/>
              <w:spacing w:line="360" w:lineRule="exact"/>
              <w:jc w:val="center"/>
              <w:rPr>
                <w:kern w:val="0"/>
                <w:szCs w:val="21"/>
              </w:rPr>
            </w:pPr>
          </w:p>
        </w:tc>
        <w:tc>
          <w:tcPr>
            <w:tcW w:w="2015" w:type="dxa"/>
            <w:vAlign w:val="center"/>
          </w:tcPr>
          <w:p>
            <w:pPr>
              <w:adjustRightInd w:val="0"/>
              <w:snapToGrid w:val="0"/>
              <w:spacing w:line="360" w:lineRule="exact"/>
              <w:jc w:val="center"/>
              <w:rPr>
                <w:kern w:val="0"/>
                <w:szCs w:val="21"/>
              </w:rPr>
            </w:pPr>
            <w:r>
              <w:rPr>
                <w:rFonts w:hAnsi="宋体"/>
                <w:kern w:val="0"/>
                <w:szCs w:val="21"/>
              </w:rPr>
              <w:t>油灌清理</w:t>
            </w:r>
          </w:p>
        </w:tc>
        <w:tc>
          <w:tcPr>
            <w:tcW w:w="2783" w:type="dxa"/>
            <w:vAlign w:val="center"/>
          </w:tcPr>
          <w:p>
            <w:pPr>
              <w:adjustRightInd w:val="0"/>
              <w:snapToGrid w:val="0"/>
              <w:spacing w:line="360" w:lineRule="exact"/>
              <w:jc w:val="center"/>
              <w:rPr>
                <w:kern w:val="0"/>
                <w:szCs w:val="21"/>
              </w:rPr>
            </w:pPr>
            <w:r>
              <w:rPr>
                <w:rFonts w:hAnsi="宋体"/>
                <w:kern w:val="0"/>
                <w:szCs w:val="21"/>
              </w:rPr>
              <w:t>含油抹布</w:t>
            </w:r>
          </w:p>
        </w:tc>
        <w:tc>
          <w:tcPr>
            <w:tcW w:w="1615" w:type="dxa"/>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55" w:type="dxa"/>
            <w:vMerge w:val="continue"/>
          </w:tcPr>
          <w:p>
            <w:pPr>
              <w:adjustRightInd w:val="0"/>
              <w:snapToGrid w:val="0"/>
              <w:spacing w:line="360" w:lineRule="exact"/>
              <w:jc w:val="center"/>
              <w:rPr>
                <w:kern w:val="0"/>
                <w:szCs w:val="21"/>
              </w:rPr>
            </w:pPr>
          </w:p>
        </w:tc>
        <w:tc>
          <w:tcPr>
            <w:tcW w:w="1267" w:type="dxa"/>
            <w:vMerge w:val="continue"/>
            <w:vAlign w:val="center"/>
          </w:tcPr>
          <w:p>
            <w:pPr>
              <w:adjustRightInd w:val="0"/>
              <w:snapToGrid w:val="0"/>
              <w:spacing w:line="360" w:lineRule="exact"/>
              <w:jc w:val="center"/>
              <w:rPr>
                <w:kern w:val="0"/>
                <w:szCs w:val="21"/>
              </w:rPr>
            </w:pPr>
          </w:p>
        </w:tc>
        <w:tc>
          <w:tcPr>
            <w:tcW w:w="2015" w:type="dxa"/>
            <w:vAlign w:val="center"/>
          </w:tcPr>
          <w:p>
            <w:pPr>
              <w:adjustRightInd w:val="0"/>
              <w:snapToGrid w:val="0"/>
              <w:spacing w:line="360" w:lineRule="exact"/>
              <w:jc w:val="center"/>
              <w:rPr>
                <w:kern w:val="0"/>
                <w:szCs w:val="21"/>
              </w:rPr>
            </w:pPr>
            <w:r>
              <w:rPr>
                <w:rFonts w:hAnsi="宋体"/>
                <w:kern w:val="0"/>
                <w:szCs w:val="21"/>
              </w:rPr>
              <w:t>隔油沉淀池</w:t>
            </w:r>
          </w:p>
        </w:tc>
        <w:tc>
          <w:tcPr>
            <w:tcW w:w="2783" w:type="dxa"/>
            <w:vAlign w:val="center"/>
          </w:tcPr>
          <w:p>
            <w:pPr>
              <w:adjustRightInd w:val="0"/>
              <w:snapToGrid w:val="0"/>
              <w:spacing w:line="360" w:lineRule="exact"/>
              <w:jc w:val="center"/>
              <w:rPr>
                <w:kern w:val="0"/>
                <w:szCs w:val="21"/>
              </w:rPr>
            </w:pPr>
            <w:r>
              <w:rPr>
                <w:rFonts w:hAnsi="宋体"/>
                <w:kern w:val="0"/>
                <w:szCs w:val="21"/>
              </w:rPr>
              <w:t>废油泥</w:t>
            </w:r>
          </w:p>
        </w:tc>
        <w:tc>
          <w:tcPr>
            <w:tcW w:w="1615" w:type="dxa"/>
            <w:vAlign w:val="center"/>
          </w:tcPr>
          <w:p>
            <w:pPr>
              <w:adjustRightInd w:val="0"/>
              <w:snapToGrid w:val="0"/>
              <w:spacing w:line="360" w:lineRule="exact"/>
              <w:jc w:val="center"/>
              <w:rPr>
                <w:i/>
                <w:kern w:val="0"/>
                <w:szCs w:val="21"/>
              </w:rPr>
            </w:pPr>
            <w:r>
              <w:rPr>
                <w:rFonts w:hAnsi="宋体"/>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55" w:type="dxa"/>
            <w:vMerge w:val="continue"/>
          </w:tcPr>
          <w:p>
            <w:pPr>
              <w:adjustRightInd w:val="0"/>
              <w:snapToGrid w:val="0"/>
              <w:spacing w:line="360" w:lineRule="exact"/>
              <w:jc w:val="center"/>
              <w:rPr>
                <w:kern w:val="0"/>
                <w:szCs w:val="21"/>
              </w:rPr>
            </w:pPr>
          </w:p>
        </w:tc>
        <w:tc>
          <w:tcPr>
            <w:tcW w:w="1267" w:type="dxa"/>
            <w:vMerge w:val="continue"/>
            <w:vAlign w:val="center"/>
          </w:tcPr>
          <w:p>
            <w:pPr>
              <w:adjustRightInd w:val="0"/>
              <w:snapToGrid w:val="0"/>
              <w:spacing w:line="360" w:lineRule="exact"/>
              <w:jc w:val="center"/>
              <w:rPr>
                <w:kern w:val="0"/>
                <w:szCs w:val="21"/>
              </w:rPr>
            </w:pPr>
          </w:p>
        </w:tc>
        <w:tc>
          <w:tcPr>
            <w:tcW w:w="2015" w:type="dxa"/>
            <w:vAlign w:val="center"/>
          </w:tcPr>
          <w:p>
            <w:pPr>
              <w:adjustRightInd w:val="0"/>
              <w:snapToGrid w:val="0"/>
              <w:spacing w:line="360" w:lineRule="exact"/>
              <w:jc w:val="center"/>
              <w:rPr>
                <w:kern w:val="0"/>
                <w:szCs w:val="21"/>
              </w:rPr>
            </w:pPr>
            <w:r>
              <w:rPr>
                <w:rFonts w:hAnsi="宋体"/>
                <w:kern w:val="0"/>
                <w:szCs w:val="21"/>
              </w:rPr>
              <w:t>油罐</w:t>
            </w:r>
          </w:p>
        </w:tc>
        <w:tc>
          <w:tcPr>
            <w:tcW w:w="2783" w:type="dxa"/>
            <w:vAlign w:val="center"/>
          </w:tcPr>
          <w:p>
            <w:pPr>
              <w:adjustRightInd w:val="0"/>
              <w:snapToGrid w:val="0"/>
              <w:spacing w:line="360" w:lineRule="exact"/>
              <w:jc w:val="center"/>
              <w:rPr>
                <w:kern w:val="0"/>
                <w:szCs w:val="21"/>
              </w:rPr>
            </w:pPr>
            <w:r>
              <w:rPr>
                <w:rFonts w:hAnsi="宋体"/>
                <w:kern w:val="0"/>
                <w:szCs w:val="21"/>
              </w:rPr>
              <w:t>废油泥、含油拖布</w:t>
            </w:r>
          </w:p>
        </w:tc>
        <w:tc>
          <w:tcPr>
            <w:tcW w:w="1615" w:type="dxa"/>
            <w:vAlign w:val="center"/>
          </w:tcPr>
          <w:p>
            <w:pPr>
              <w:adjustRightInd w:val="0"/>
              <w:snapToGrid w:val="0"/>
              <w:spacing w:line="360" w:lineRule="exact"/>
              <w:jc w:val="center"/>
              <w:rPr>
                <w:kern w:val="0"/>
                <w:szCs w:val="21"/>
              </w:rPr>
            </w:pPr>
          </w:p>
        </w:tc>
      </w:tr>
    </w:tbl>
    <w:p>
      <w:pPr>
        <w:autoSpaceDE w:val="0"/>
        <w:autoSpaceDN w:val="0"/>
        <w:adjustRightInd w:val="0"/>
        <w:snapToGrid w:val="0"/>
        <w:spacing w:beforeLines="100" w:afterLines="50" w:line="360" w:lineRule="auto"/>
        <w:jc w:val="left"/>
        <w:outlineLvl w:val="0"/>
        <w:rPr>
          <w:b/>
          <w:bCs/>
          <w:sz w:val="24"/>
        </w:rPr>
      </w:pPr>
      <w:bookmarkStart w:id="19" w:name="_Toc17707"/>
      <w:r>
        <w:rPr>
          <w:b/>
          <w:bCs/>
          <w:sz w:val="24"/>
        </w:rPr>
        <w:t>3.4 加油站运营流程及水平衡</w:t>
      </w:r>
      <w:bookmarkEnd w:id="19"/>
    </w:p>
    <w:p>
      <w:pPr>
        <w:pStyle w:val="4"/>
        <w:spacing w:line="360" w:lineRule="auto"/>
        <w:ind w:leftChars="-1" w:hanging="2" w:hangingChars="1"/>
        <w:contextualSpacing/>
        <w:rPr>
          <w:sz w:val="24"/>
        </w:rPr>
      </w:pPr>
      <w:r>
        <w:rPr>
          <w:sz w:val="24"/>
        </w:rPr>
        <w:t>项目加油工艺流程主要有卸油和加油两个环节，具体为：</w:t>
      </w:r>
    </w:p>
    <w:p>
      <w:pPr>
        <w:spacing w:line="520" w:lineRule="exact"/>
        <w:ind w:firstLine="480" w:firstLineChars="200"/>
        <w:contextualSpacing/>
        <w:rPr>
          <w:sz w:val="24"/>
        </w:rPr>
      </w:pPr>
      <w:r>
        <w:rPr>
          <w:rFonts w:ascii="宋体"/>
          <w:sz w:val="24"/>
        </w:rPr>
        <w:t>①</w:t>
      </w:r>
      <w:r>
        <w:rPr>
          <w:sz w:val="24"/>
        </w:rPr>
        <w:t>卸油：加油站油品来自汽车罐车，罐车进站后熄火，进行静电接地，待罐车静置15min后打开油罐车口盖，接好卸油管，使接头接合紧密，卸油管自然弯曲，油品经密闭卸油口卸入对应的油罐内储存。卸油完毕，关闭罐车卸油阀门，拆除卸油管，锁好卸油口，收回静电接地线。油罐设有液位仪检测油罐液位，液位超过设定值后，发出报警信号。</w:t>
      </w:r>
    </w:p>
    <w:p>
      <w:pPr>
        <w:spacing w:line="520" w:lineRule="exact"/>
        <w:ind w:firstLine="480" w:firstLineChars="200"/>
        <w:contextualSpacing/>
        <w:rPr>
          <w:sz w:val="24"/>
        </w:rPr>
      </w:pPr>
      <w:r>
        <w:rPr>
          <w:rFonts w:ascii="宋体"/>
          <w:sz w:val="24"/>
        </w:rPr>
        <w:t>②</w:t>
      </w:r>
      <w:r>
        <w:rPr>
          <w:sz w:val="24"/>
        </w:rPr>
        <w:t>加油：加油车辆到达加油位置后，停车熄火，开启油箱，加油员在加油机上预置加油数量，经确认油品无误后，提枪加油，油品经泵进入加油枪然后注入汽车油箱内。</w:t>
      </w:r>
    </w:p>
    <w:p>
      <w:pPr>
        <w:pStyle w:val="4"/>
        <w:spacing w:line="520" w:lineRule="exact"/>
        <w:ind w:firstLine="480"/>
        <w:contextualSpacing/>
        <w:rPr>
          <w:sz w:val="24"/>
        </w:rPr>
      </w:pPr>
      <w:r>
        <w:rPr>
          <w:rFonts w:ascii="宋体"/>
          <w:sz w:val="24"/>
        </w:rPr>
        <w:t>③</w:t>
      </w:r>
      <w:r>
        <w:rPr>
          <w:sz w:val="24"/>
        </w:rPr>
        <w:t>油气回收：项目</w:t>
      </w:r>
      <w:r>
        <w:rPr>
          <w:rFonts w:hint="eastAsia"/>
          <w:sz w:val="24"/>
        </w:rPr>
        <w:t>目前</w:t>
      </w:r>
      <w:r>
        <w:rPr>
          <w:sz w:val="24"/>
        </w:rPr>
        <w:t>采用一次油气回收设施、二次油气回收设施</w:t>
      </w:r>
      <w:r>
        <w:rPr>
          <w:rFonts w:hint="eastAsia"/>
          <w:sz w:val="24"/>
        </w:rPr>
        <w:t>，将加装三次油气回收设施，故本次评价按三级油气进行</w:t>
      </w:r>
      <w:r>
        <w:rPr>
          <w:sz w:val="24"/>
        </w:rPr>
        <w:t>。</w:t>
      </w:r>
    </w:p>
    <w:p>
      <w:pPr>
        <w:pStyle w:val="4"/>
        <w:spacing w:line="520" w:lineRule="exact"/>
        <w:ind w:firstLine="480"/>
        <w:contextualSpacing/>
        <w:rPr>
          <w:sz w:val="24"/>
        </w:rPr>
      </w:pPr>
      <w:r>
        <w:rPr>
          <w:sz w:val="24"/>
        </w:rPr>
        <w:t>一次油气回收指专用油罐车卸油到加油站的储油罐中，将加油站储油罐中的油蒸汽通过密闭方式收集到油罐车内，运送到加油站外的储油库集中回收变成汽油，限制油气向大气中排放。具体步骤为：</w:t>
      </w:r>
    </w:p>
    <w:p>
      <w:pPr>
        <w:widowControl/>
        <w:spacing w:line="520" w:lineRule="exact"/>
        <w:ind w:firstLine="480" w:firstLineChars="200"/>
        <w:contextualSpacing/>
        <w:jc w:val="left"/>
        <w:rPr>
          <w:kern w:val="0"/>
          <w:sz w:val="24"/>
        </w:rPr>
      </w:pPr>
      <w:r>
        <w:rPr>
          <w:kern w:val="0"/>
          <w:sz w:val="24"/>
        </w:rPr>
        <w:t>卸油时，卸油软管连接罐车出油口和罐区卸油口，油气回收软管连接罐车油气回收口和卸油口的油气回收管道接口。当罐车内汽油流入加油站汽油罐时，汽油罐内油气通过通气管连通管进入到低标号汽油罐内，再通过油气回收管道流入到罐车内，整个过程中无油气排放。卸油时由于通气管上安装有压力真空阀，在设定工作压力内不会开启，不会造成油气通过通气管的排放。</w:t>
      </w:r>
    </w:p>
    <w:p>
      <w:pPr>
        <w:widowControl/>
        <w:spacing w:line="360" w:lineRule="auto"/>
        <w:ind w:firstLine="11" w:firstLineChars="5"/>
        <w:contextualSpacing/>
        <w:jc w:val="center"/>
        <w:rPr>
          <w:kern w:val="0"/>
          <w:sz w:val="24"/>
        </w:rPr>
      </w:pPr>
      <w:r>
        <w:rPr>
          <w:kern w:val="0"/>
          <w:sz w:val="22"/>
          <w:szCs w:val="22"/>
        </w:rPr>
        <w:drawing>
          <wp:inline distT="0" distB="0" distL="0" distR="0">
            <wp:extent cx="3940810" cy="2106930"/>
            <wp:effectExtent l="0" t="0" r="6350" b="11430"/>
            <wp:docPr id="19" name="图片 134" descr="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4" descr="１"/>
                    <pic:cNvPicPr>
                      <a:picLocks noChangeAspect="1" noChangeArrowheads="1"/>
                    </pic:cNvPicPr>
                  </pic:nvPicPr>
                  <pic:blipFill>
                    <a:blip r:embed="rId11"/>
                    <a:srcRect/>
                    <a:stretch>
                      <a:fillRect/>
                    </a:stretch>
                  </pic:blipFill>
                  <pic:spPr>
                    <a:xfrm>
                      <a:off x="0" y="0"/>
                      <a:ext cx="3940810" cy="2106930"/>
                    </a:xfrm>
                    <a:prstGeom prst="rect">
                      <a:avLst/>
                    </a:prstGeom>
                    <a:noFill/>
                    <a:ln w="9525">
                      <a:noFill/>
                      <a:miter lim="800000"/>
                      <a:headEnd/>
                      <a:tailEnd/>
                    </a:ln>
                  </pic:spPr>
                </pic:pic>
              </a:graphicData>
            </a:graphic>
          </wp:inline>
        </w:drawing>
      </w:r>
    </w:p>
    <w:p>
      <w:pPr>
        <w:pStyle w:val="4"/>
        <w:spacing w:line="520" w:lineRule="exact"/>
        <w:ind w:firstLine="480"/>
        <w:contextualSpacing/>
        <w:rPr>
          <w:sz w:val="24"/>
        </w:rPr>
      </w:pPr>
      <w:r>
        <w:rPr>
          <w:sz w:val="24"/>
        </w:rPr>
        <w:t>二次油气回收指在给汽车油箱加油时，利用加油枪特殊装置，将原本由汽车油箱逸散于空气中的油气经加油枪、抽气泵回收入地下油罐内。</w:t>
      </w:r>
    </w:p>
    <w:p>
      <w:pPr>
        <w:pStyle w:val="4"/>
        <w:spacing w:line="520" w:lineRule="exact"/>
        <w:ind w:firstLine="480"/>
        <w:contextualSpacing/>
        <w:rPr>
          <w:sz w:val="24"/>
        </w:rPr>
      </w:pPr>
      <w:r>
        <w:rPr>
          <w:sz w:val="24"/>
        </w:rPr>
        <w:t>项目采用油气回收专用油枪，加油满至枪头回气孔时，可自动跳脱，另在回气孔之后有八个油气回收孔，真空泵将油气通过密闭方式收集进入埋地油罐，可有效将加油时所造成的油气逸散降到最低。加油过程中加油与吸气比例接近1:1，保证每发1L油可回收相当于1L体积的油气，确保加油过程中油气回收顺利完成。</w:t>
      </w:r>
      <w:r>
        <w:rPr>
          <w:kern w:val="24"/>
          <w:sz w:val="24"/>
        </w:rPr>
        <w:t>油气回收管线应坡向油罐，坡度不应小于1%；加油软管应配备拉断截止阀，加油时应防止溢油和滴油。</w:t>
      </w:r>
    </w:p>
    <w:p>
      <w:pPr>
        <w:pStyle w:val="4"/>
        <w:spacing w:line="360" w:lineRule="auto"/>
        <w:ind w:firstLine="11" w:firstLineChars="5"/>
        <w:contextualSpacing/>
        <w:jc w:val="center"/>
        <w:rPr>
          <w:kern w:val="0"/>
          <w:sz w:val="22"/>
          <w:szCs w:val="22"/>
        </w:rPr>
      </w:pPr>
      <w:r>
        <w:rPr>
          <w:kern w:val="0"/>
          <w:sz w:val="22"/>
          <w:szCs w:val="22"/>
        </w:rPr>
        <w:drawing>
          <wp:inline distT="0" distB="0" distL="0" distR="0">
            <wp:extent cx="3856990" cy="2212340"/>
            <wp:effectExtent l="0" t="0" r="13970" b="12700"/>
            <wp:docPr id="21" name="图片 135" descr="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5" descr="２"/>
                    <pic:cNvPicPr>
                      <a:picLocks noChangeAspect="1" noChangeArrowheads="1"/>
                    </pic:cNvPicPr>
                  </pic:nvPicPr>
                  <pic:blipFill>
                    <a:blip r:embed="rId12"/>
                    <a:srcRect/>
                    <a:stretch>
                      <a:fillRect/>
                    </a:stretch>
                  </pic:blipFill>
                  <pic:spPr>
                    <a:xfrm>
                      <a:off x="0" y="0"/>
                      <a:ext cx="3856990" cy="2212340"/>
                    </a:xfrm>
                    <a:prstGeom prst="rect">
                      <a:avLst/>
                    </a:prstGeom>
                    <a:noFill/>
                    <a:ln w="9525">
                      <a:noFill/>
                      <a:miter lim="800000"/>
                      <a:headEnd/>
                      <a:tailEnd/>
                    </a:ln>
                  </pic:spPr>
                </pic:pic>
              </a:graphicData>
            </a:graphic>
          </wp:inline>
        </w:drawing>
      </w:r>
    </w:p>
    <w:p>
      <w:pPr>
        <w:pStyle w:val="4"/>
        <w:spacing w:line="360" w:lineRule="auto"/>
        <w:ind w:firstLine="491" w:firstLineChars="205"/>
        <w:contextualSpacing/>
        <w:rPr>
          <w:sz w:val="24"/>
        </w:rPr>
      </w:pPr>
      <w:r>
        <w:rPr>
          <w:rFonts w:hint="eastAsia"/>
          <w:sz w:val="24"/>
        </w:rPr>
        <w:t>三次油气回收是指油气排放处理装置。油气排放处理装置一般是指对加油油气回收系统收集的油气进行回收处理的装置。处理的是带有回收油气功能的加油枪在气液比大于1时多收集并从排气管路排放的油气以及埋地油罐随大气压和气温变化产生正压时排放的油气。该系统可以使汽油罐的油气排放基本为零，显著提高加油站的本质安全水平。</w:t>
      </w:r>
    </w:p>
    <w:p>
      <w:pPr>
        <w:spacing w:line="360" w:lineRule="auto"/>
        <w:ind w:firstLine="480" w:firstLineChars="200"/>
        <w:rPr>
          <w:sz w:val="24"/>
          <w:lang w:val="zh-CN"/>
        </w:rPr>
      </w:pPr>
      <w:r>
        <w:rPr>
          <w:sz w:val="24"/>
        </w:rPr>
        <w:t>加油站经营工艺流程</w:t>
      </w:r>
      <w:r>
        <w:rPr>
          <w:sz w:val="24"/>
          <w:lang w:val="zh-CN"/>
        </w:rPr>
        <w:t>及产污环节见图</w:t>
      </w:r>
      <w:r>
        <w:rPr>
          <w:sz w:val="24"/>
        </w:rPr>
        <w:t>3</w:t>
      </w:r>
      <w:r>
        <w:rPr>
          <w:sz w:val="24"/>
          <w:lang w:val="zh-CN"/>
        </w:rPr>
        <w:t>-</w:t>
      </w:r>
      <w:r>
        <w:rPr>
          <w:sz w:val="24"/>
        </w:rPr>
        <w:t>2</w:t>
      </w:r>
      <w:r>
        <w:rPr>
          <w:sz w:val="24"/>
          <w:lang w:val="zh-CN"/>
        </w:rPr>
        <w:t>。</w:t>
      </w:r>
    </w:p>
    <w:p>
      <w:pPr>
        <w:pStyle w:val="4"/>
        <w:spacing w:line="520" w:lineRule="exact"/>
        <w:ind w:firstLine="480"/>
        <w:contextualSpacing/>
        <w:rPr>
          <w:sz w:val="24"/>
        </w:rPr>
      </w:pPr>
      <w:r>
        <w:rPr>
          <w:sz w:val="24"/>
        </w:rPr>
        <w:pict>
          <v:shape id="_x0000_s1067" o:spid="_x0000_s1067" o:spt="202" type="#_x0000_t202" style="position:absolute;left:0pt;margin-left:262.95pt;margin-top:15.85pt;height:22.5pt;width:47.2pt;z-index:251668480;mso-width-relative:page;mso-height-relative:page;" filled="f" stroked="f" coordsize="21600,21600">
            <v:path/>
            <v:fill on="f" opacity="0f" focussize="0,0"/>
            <v:stroke on="f" color="#FFFFFF" joinstyle="miter"/>
            <v:imagedata o:title=""/>
            <o:lock v:ext="edit"/>
            <v:textbox>
              <w:txbxContent>
                <w:p>
                  <w:pPr>
                    <w:rPr>
                      <w:b/>
                      <w:sz w:val="24"/>
                    </w:rPr>
                  </w:pPr>
                  <w:r>
                    <w:rPr>
                      <w:rFonts w:hint="eastAsia"/>
                      <w:b/>
                      <w:sz w:val="24"/>
                    </w:rPr>
                    <w:t>废气</w:t>
                  </w:r>
                </w:p>
              </w:txbxContent>
            </v:textbox>
          </v:shape>
        </w:pict>
      </w:r>
      <w:r>
        <w:rPr>
          <w:sz w:val="24"/>
        </w:rPr>
        <w:pict>
          <v:shape id="_x0000_s1066" o:spid="_x0000_s1066" o:spt="202" type="#_x0000_t202" style="position:absolute;left:0pt;margin-left:132.35pt;margin-top:12.2pt;height:22.5pt;width:47.2pt;z-index:251667456;mso-width-relative:page;mso-height-relative:page;" filled="f" stroked="f" coordsize="21600,21600">
            <v:path/>
            <v:fill on="f" opacity="0f" focussize="0,0"/>
            <v:stroke on="f" joinstyle="miter"/>
            <v:imagedata o:title=""/>
            <o:lock v:ext="edit"/>
            <v:textbox>
              <w:txbxContent>
                <w:p>
                  <w:pPr>
                    <w:rPr>
                      <w:b/>
                      <w:sz w:val="24"/>
                    </w:rPr>
                  </w:pPr>
                  <w:r>
                    <w:rPr>
                      <w:rFonts w:hint="eastAsia"/>
                      <w:b/>
                      <w:sz w:val="24"/>
                    </w:rPr>
                    <w:t>废气</w:t>
                  </w:r>
                </w:p>
              </w:txbxContent>
            </v:textbox>
          </v:shape>
        </w:pict>
      </w:r>
    </w:p>
    <w:p>
      <w:pPr>
        <w:pStyle w:val="4"/>
        <w:spacing w:line="360" w:lineRule="auto"/>
        <w:ind w:firstLine="562"/>
        <w:contextualSpacing/>
        <w:rPr>
          <w:sz w:val="24"/>
        </w:rPr>
      </w:pPr>
      <w:r>
        <w:rPr>
          <w:b/>
          <w:sz w:val="28"/>
        </w:rPr>
        <w:pict>
          <v:line id="_x0000_s1065" o:spid="_x0000_s1065" o:spt="20" style="position:absolute;left:0pt;flip:y;margin-left:286.9pt;margin-top:16.5pt;height:16.5pt;width:0pt;z-index:251666432;mso-width-relative:page;mso-height-relative:page;" coordsize="21600,21600">
            <v:path arrowok="t"/>
            <v:fill focussize="0,0"/>
            <v:stroke dashstyle="dash" endarrow="block"/>
            <v:imagedata o:title=""/>
            <o:lock v:ext="edit"/>
          </v:line>
        </w:pict>
      </w:r>
      <w:r>
        <w:rPr>
          <w:sz w:val="24"/>
        </w:rPr>
        <w:pict>
          <v:line id="_x0000_s1064" o:spid="_x0000_s1064" o:spt="20" style="position:absolute;left:0pt;flip:y;margin-left:157pt;margin-top:14.25pt;height:16.5pt;width:0pt;z-index:251665408;mso-width-relative:page;mso-height-relative:page;" coordsize="21600,21600">
            <v:path arrowok="t"/>
            <v:fill focussize="0,0"/>
            <v:stroke dashstyle="dash" endarrow="block"/>
            <v:imagedata o:title=""/>
            <o:lock v:ext="edit"/>
          </v:line>
        </w:pict>
      </w:r>
    </w:p>
    <w:p>
      <w:pPr>
        <w:spacing w:line="360" w:lineRule="auto"/>
        <w:ind w:firstLine="420" w:firstLineChars="200"/>
        <w:jc w:val="center"/>
        <w:rPr>
          <w:b/>
          <w:bCs/>
          <w:szCs w:val="21"/>
        </w:rPr>
      </w:pPr>
      <w:r>
        <w:object>
          <v:shape id="_x0000_i1025" o:spt="75" type="#_x0000_t75" style="height:80.95pt;width:427.25pt;" o:ole="t" filled="f" o:preferrelative="t" stroked="f" coordsize="21600,21600">
            <v:path/>
            <v:fill on="f" focussize="0,0"/>
            <v:stroke on="f"/>
            <v:imagedata r:id="rId14" o:title=""/>
            <o:lock v:ext="edit" aspectratio="t"/>
            <w10:wrap type="none"/>
            <w10:anchorlock/>
          </v:shape>
          <o:OLEObject Type="Embed" ProgID="Visio.Drawing.11" ShapeID="_x0000_i1025" DrawAspect="Content" ObjectID="_1468075725" r:id="rId13">
            <o:LockedField>false</o:LockedField>
          </o:OLEObject>
        </w:object>
      </w:r>
      <w:r>
        <w:rPr>
          <w:b/>
          <w:bCs/>
          <w:szCs w:val="21"/>
          <w:lang w:val="zh-CN"/>
        </w:rPr>
        <w:t>图</w:t>
      </w:r>
      <w:r>
        <w:rPr>
          <w:b/>
          <w:bCs/>
          <w:szCs w:val="21"/>
        </w:rPr>
        <w:t>3</w:t>
      </w:r>
      <w:r>
        <w:rPr>
          <w:b/>
          <w:bCs/>
          <w:szCs w:val="21"/>
          <w:lang w:val="zh-CN"/>
        </w:rPr>
        <w:t>-</w:t>
      </w:r>
      <w:r>
        <w:rPr>
          <w:b/>
          <w:bCs/>
          <w:szCs w:val="21"/>
        </w:rPr>
        <w:t>2 工艺流程及产污节点示意图</w:t>
      </w:r>
    </w:p>
    <w:p>
      <w:pPr>
        <w:spacing w:line="360" w:lineRule="auto"/>
        <w:ind w:firstLine="482" w:firstLineChars="200"/>
        <w:jc w:val="left"/>
        <w:rPr>
          <w:b/>
          <w:bCs/>
          <w:sz w:val="24"/>
        </w:rPr>
      </w:pPr>
      <w:r>
        <w:rPr>
          <w:b/>
          <w:bCs/>
          <w:sz w:val="24"/>
        </w:rPr>
        <w:t>加油站水平衡如图3-3：</w:t>
      </w:r>
    </w:p>
    <w:p>
      <w:pPr>
        <w:spacing w:line="360" w:lineRule="auto"/>
        <w:rPr>
          <w:color w:val="FF0000"/>
        </w:rPr>
      </w:pPr>
      <w:r>
        <w:drawing>
          <wp:inline distT="0" distB="0" distL="0" distR="0">
            <wp:extent cx="5274310" cy="20535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
                    <a:stretch>
                      <a:fillRect/>
                    </a:stretch>
                  </pic:blipFill>
                  <pic:spPr>
                    <a:xfrm>
                      <a:off x="0" y="0"/>
                      <a:ext cx="5274310" cy="2053590"/>
                    </a:xfrm>
                    <a:prstGeom prst="rect">
                      <a:avLst/>
                    </a:prstGeom>
                  </pic:spPr>
                </pic:pic>
              </a:graphicData>
            </a:graphic>
          </wp:inline>
        </w:drawing>
      </w:r>
    </w:p>
    <w:p>
      <w:pPr>
        <w:spacing w:line="360" w:lineRule="auto"/>
        <w:ind w:firstLine="422" w:firstLineChars="200"/>
        <w:jc w:val="center"/>
        <w:rPr>
          <w:b/>
          <w:bCs/>
          <w:szCs w:val="21"/>
          <w:lang w:val="zh-CN"/>
        </w:rPr>
      </w:pPr>
      <w:r>
        <w:rPr>
          <w:rFonts w:hint="eastAsia"/>
          <w:b/>
          <w:bCs/>
          <w:szCs w:val="21"/>
          <w:lang w:val="zh-CN"/>
        </w:rPr>
        <w:t>图3-3  加油站营运水量平衡图   单位：</w:t>
      </w:r>
      <w:r>
        <w:rPr>
          <w:rFonts w:hint="eastAsia"/>
          <w:b/>
          <w:bCs/>
          <w:position w:val="-4"/>
          <w:szCs w:val="21"/>
          <w:lang w:val="zh-CN"/>
        </w:rPr>
        <w:object>
          <v:shape id="_x0000_i1026" o:spt="75" type="#_x0000_t75" style="height:15pt;width:17pt;" o:ole="t" filled="f" o:preferrelative="t" stroked="f" coordsize="21600,21600">
            <v:path/>
            <v:fill on="f" focussize="0,0"/>
            <v:stroke on="f"/>
            <v:imagedata r:id="rId17" o:title=""/>
            <o:lock v:ext="edit" aspectratio="t"/>
            <w10:wrap type="none"/>
            <w10:anchorlock/>
          </v:shape>
          <o:OLEObject Type="Embed" ProgID="Equation.KSEE3" ShapeID="_x0000_i1026" DrawAspect="Content" ObjectID="_1468075726" r:id="rId16">
            <o:LockedField>false</o:LockedField>
          </o:OLEObject>
        </w:object>
      </w:r>
      <w:r>
        <w:rPr>
          <w:rFonts w:hint="eastAsia"/>
          <w:b/>
          <w:bCs/>
          <w:szCs w:val="21"/>
          <w:lang w:val="zh-CN"/>
        </w:rPr>
        <w:t>/d</w:t>
      </w:r>
    </w:p>
    <w:p>
      <w:pPr>
        <w:autoSpaceDE w:val="0"/>
        <w:autoSpaceDN w:val="0"/>
        <w:adjustRightInd w:val="0"/>
        <w:snapToGrid w:val="0"/>
        <w:spacing w:beforeLines="100" w:afterLines="50" w:line="360" w:lineRule="auto"/>
        <w:jc w:val="left"/>
        <w:outlineLvl w:val="0"/>
        <w:rPr>
          <w:b/>
          <w:bCs/>
          <w:sz w:val="24"/>
        </w:rPr>
      </w:pPr>
      <w:bookmarkStart w:id="20" w:name="_Toc16910"/>
      <w:r>
        <w:rPr>
          <w:b/>
          <w:bCs/>
          <w:sz w:val="24"/>
        </w:rPr>
        <w:t>3.5 安全生产管理</w:t>
      </w:r>
      <w:bookmarkEnd w:id="20"/>
    </w:p>
    <w:p>
      <w:pPr>
        <w:spacing w:line="360" w:lineRule="auto"/>
        <w:ind w:firstLine="480" w:firstLineChars="200"/>
        <w:rPr>
          <w:sz w:val="24"/>
          <w:lang w:val="zh-CN"/>
        </w:rPr>
      </w:pPr>
      <w:r>
        <w:rPr>
          <w:sz w:val="24"/>
          <w:lang w:val="zh-CN"/>
        </w:rPr>
        <w:t>加油站建立相关安全生产管理制度，加油站不涉及危险化学品重大危险源。</w:t>
      </w:r>
      <w:r>
        <w:rPr>
          <w:sz w:val="24"/>
        </w:rPr>
        <w:t>加油站已通过消防验收。</w:t>
      </w:r>
    </w:p>
    <w:p>
      <w:pPr>
        <w:autoSpaceDE w:val="0"/>
        <w:autoSpaceDN w:val="0"/>
        <w:adjustRightInd w:val="0"/>
        <w:snapToGrid w:val="0"/>
        <w:spacing w:beforeLines="100" w:afterLines="50" w:line="360" w:lineRule="auto"/>
        <w:jc w:val="left"/>
        <w:outlineLvl w:val="0"/>
        <w:rPr>
          <w:b/>
          <w:bCs/>
          <w:sz w:val="24"/>
        </w:rPr>
      </w:pPr>
      <w:bookmarkStart w:id="21" w:name="_Toc21521"/>
      <w:r>
        <w:rPr>
          <w:b/>
          <w:bCs/>
          <w:sz w:val="24"/>
        </w:rPr>
        <w:t>3.6 现有环境风险防控与应急措施情况</w:t>
      </w:r>
      <w:r>
        <w:rPr>
          <w:rFonts w:hint="eastAsia"/>
          <w:b/>
          <w:bCs/>
          <w:sz w:val="24"/>
        </w:rPr>
        <w:t>及建议</w:t>
      </w:r>
      <w:bookmarkEnd w:id="21"/>
    </w:p>
    <w:p>
      <w:pPr>
        <w:spacing w:line="360" w:lineRule="auto"/>
        <w:ind w:firstLine="482" w:firstLineChars="200"/>
        <w:rPr>
          <w:b/>
          <w:bCs/>
          <w:sz w:val="24"/>
          <w:lang w:val="zh-CN"/>
        </w:rPr>
      </w:pPr>
      <w:bookmarkStart w:id="22" w:name="_Toc31076"/>
      <w:bookmarkStart w:id="23" w:name="_Toc24663"/>
      <w:bookmarkStart w:id="24" w:name="_Toc437328364"/>
      <w:bookmarkStart w:id="25" w:name="_Toc31475"/>
      <w:r>
        <w:rPr>
          <w:b/>
          <w:bCs/>
          <w:sz w:val="24"/>
          <w:lang w:val="zh-CN"/>
        </w:rPr>
        <w:t>大气环境影响分析结论</w:t>
      </w:r>
      <w:bookmarkEnd w:id="22"/>
      <w:bookmarkEnd w:id="23"/>
      <w:bookmarkEnd w:id="24"/>
      <w:bookmarkEnd w:id="25"/>
    </w:p>
    <w:p>
      <w:pPr>
        <w:spacing w:line="360" w:lineRule="auto"/>
        <w:ind w:firstLine="480" w:firstLineChars="200"/>
        <w:rPr>
          <w:sz w:val="24"/>
          <w:lang w:val="zh-CN"/>
        </w:rPr>
      </w:pPr>
      <w:r>
        <w:rPr>
          <w:sz w:val="24"/>
          <w:lang w:val="zh-CN"/>
        </w:rPr>
        <w:t>大气污染源主要来源于油品的损耗(加油、卸料、油罐大小呼吸等产生)而扩散到大气环境中的油气，污染物为非甲烷总烃。</w:t>
      </w:r>
    </w:p>
    <w:p>
      <w:pPr>
        <w:spacing w:line="360" w:lineRule="auto"/>
        <w:ind w:firstLine="480" w:firstLineChars="200"/>
        <w:rPr>
          <w:sz w:val="24"/>
          <w:lang w:val="zh-CN"/>
        </w:rPr>
      </w:pPr>
      <w:r>
        <w:rPr>
          <w:sz w:val="24"/>
          <w:lang w:val="zh-CN"/>
        </w:rPr>
        <w:t>项目产生的油气，由于采取有效措施，污染物排放量较少。项目废气经</w:t>
      </w:r>
      <w:r>
        <w:rPr>
          <w:rFonts w:hint="eastAsia"/>
          <w:sz w:val="24"/>
          <w:lang w:val="zh-CN"/>
        </w:rPr>
        <w:t>三级</w:t>
      </w:r>
      <w:r>
        <w:rPr>
          <w:sz w:val="24"/>
          <w:lang w:val="zh-CN"/>
        </w:rPr>
        <w:t>油气回收系统处理后，项目通气排放管排放非甲烷总烃浓度能达到《加油站大气污染物排放标准》（GB 20952－2007）中的排放限值（处理装置油气排放口非甲烷总烃≤25g/</w:t>
      </w:r>
      <w:r>
        <w:rPr>
          <w:position w:val="-4"/>
          <w:sz w:val="24"/>
          <w:lang w:val="zh-CN"/>
        </w:rPr>
        <w:object>
          <v:shape id="_x0000_i1027" o:spt="75" type="#_x0000_t75" style="height:15pt;width:17pt;" o:ole="t" filled="f" o:preferrelative="t" stroked="f" coordsize="21600,21600">
            <v:path/>
            <v:fill on="f" focussize="0,0"/>
            <v:stroke on="f"/>
            <v:imagedata r:id="rId19" o:title=""/>
            <o:lock v:ext="edit" aspectratio="t"/>
            <w10:wrap type="none"/>
            <w10:anchorlock/>
          </v:shape>
          <o:OLEObject Type="Embed" ProgID="Equation.KSEE3" ShapeID="_x0000_i1027" DrawAspect="Content" ObjectID="_1468075727" r:id="rId18">
            <o:LockedField>false</o:LockedField>
          </o:OLEObject>
        </w:object>
      </w:r>
      <w:r>
        <w:rPr>
          <w:sz w:val="24"/>
          <w:lang w:val="zh-CN"/>
        </w:rPr>
        <w:t>）；项目厂界非甲烷总烃浓度符合《大气污染物综合排放标准》（GB16297-1996）表2中无组织排放监控周界外浓度限值（非甲烷总烃≤4.0mg/</w:t>
      </w:r>
      <w:r>
        <w:rPr>
          <w:position w:val="-4"/>
          <w:sz w:val="24"/>
          <w:lang w:val="zh-CN"/>
        </w:rPr>
        <w:object>
          <v:shape id="_x0000_i1028" o:spt="75" type="#_x0000_t75" style="height:15pt;width:17pt;" o:ole="t" filled="f" o:preferrelative="t" stroked="f" coordsize="21600,21600">
            <v:path/>
            <v:fill on="f" focussize="0,0"/>
            <v:stroke on="f"/>
            <v:imagedata r:id="rId21" o:title=""/>
            <o:lock v:ext="edit" aspectratio="t"/>
            <w10:wrap type="none"/>
            <w10:anchorlock/>
          </v:shape>
          <o:OLEObject Type="Embed" ProgID="Equation.KSEE3" ShapeID="_x0000_i1028" DrawAspect="Content" ObjectID="_1468075728" r:id="rId20">
            <o:LockedField>false</o:LockedField>
          </o:OLEObject>
        </w:object>
      </w:r>
      <w:r>
        <w:rPr>
          <w:sz w:val="24"/>
          <w:lang w:val="zh-CN"/>
        </w:rPr>
        <w:t>），对周围大气环境影响不大。</w:t>
      </w:r>
    </w:p>
    <w:p>
      <w:pPr>
        <w:spacing w:line="360" w:lineRule="auto"/>
        <w:ind w:firstLine="482" w:firstLineChars="200"/>
        <w:rPr>
          <w:b/>
          <w:bCs/>
          <w:sz w:val="24"/>
          <w:lang w:val="zh-CN"/>
        </w:rPr>
      </w:pPr>
      <w:bookmarkStart w:id="26" w:name="_Toc437328365"/>
      <w:bookmarkStart w:id="27" w:name="_Toc28818"/>
      <w:bookmarkStart w:id="28" w:name="_Toc12214"/>
      <w:bookmarkStart w:id="29" w:name="_Toc11148"/>
      <w:r>
        <w:rPr>
          <w:b/>
          <w:bCs/>
          <w:sz w:val="24"/>
          <w:lang w:val="zh-CN"/>
        </w:rPr>
        <w:t>地表水环境影响分析结论</w:t>
      </w:r>
      <w:bookmarkEnd w:id="26"/>
      <w:bookmarkEnd w:id="27"/>
      <w:bookmarkEnd w:id="28"/>
      <w:bookmarkEnd w:id="29"/>
    </w:p>
    <w:p>
      <w:pPr>
        <w:pStyle w:val="30"/>
        <w:numPr>
          <w:ilvl w:val="0"/>
          <w:numId w:val="0"/>
        </w:numPr>
        <w:spacing w:line="500" w:lineRule="exact"/>
        <w:ind w:firstLine="420" w:firstLineChars="0"/>
        <w:rPr>
          <w:rFonts w:hint="default" w:ascii="Times New Roman" w:hAnsi="Times New Roman" w:cs="Times New Roman"/>
          <w:b w:val="0"/>
          <w:bCs w:val="0"/>
          <w:color w:val="000000" w:themeColor="text1"/>
          <w:sz w:val="24"/>
          <w:szCs w:val="24"/>
          <w:lang w:val="en-US" w:eastAsia="zh-CN"/>
        </w:rPr>
      </w:pPr>
      <w:r>
        <w:rPr>
          <w:rFonts w:hint="eastAsia" w:ascii="Times New Roman" w:hAnsi="Times New Roman" w:cs="Times New Roman"/>
          <w:b w:val="0"/>
          <w:bCs w:val="0"/>
          <w:color w:val="000000" w:themeColor="text1"/>
          <w:sz w:val="24"/>
          <w:szCs w:val="24"/>
          <w:lang w:val="en-US" w:eastAsia="zh-CN"/>
        </w:rPr>
        <w:t>废水经隔离油池+化粪池+地埋式一体化设备后，废水总排口的排放浓度</w:t>
      </w:r>
    </w:p>
    <w:p>
      <w:pPr>
        <w:pStyle w:val="30"/>
        <w:numPr>
          <w:ilvl w:val="0"/>
          <w:numId w:val="0"/>
        </w:numPr>
        <w:spacing w:line="500" w:lineRule="exact"/>
        <w:rPr>
          <w:sz w:val="24"/>
          <w:lang w:val="zh-CN"/>
        </w:rPr>
      </w:pPr>
      <w:r>
        <w:rPr>
          <w:rFonts w:hint="eastAsia" w:ascii="Times New Roman" w:hAnsi="Times New Roman" w:cs="Times New Roman"/>
          <w:b w:val="0"/>
          <w:bCs w:val="0"/>
          <w:color w:val="000000" w:themeColor="text1"/>
          <w:sz w:val="24"/>
          <w:szCs w:val="24"/>
          <w:lang w:val="en-US" w:eastAsia="zh-CN"/>
        </w:rPr>
        <w:t>满足《城镇污水处理厂污染物排放标准》（GB18918-2002）中一级B标准，</w:t>
      </w:r>
      <w:r>
        <w:rPr>
          <w:rFonts w:hint="eastAsia"/>
          <w:sz w:val="24"/>
          <w:lang w:val="zh-CN"/>
        </w:rPr>
        <w:t>满足</w:t>
      </w:r>
      <w:r>
        <w:rPr>
          <w:sz w:val="24"/>
          <w:lang w:val="zh-CN"/>
        </w:rPr>
        <w:t>《</w:t>
      </w:r>
      <w:r>
        <w:rPr>
          <w:rFonts w:hint="eastAsia"/>
          <w:sz w:val="24"/>
          <w:lang w:val="zh-CN"/>
        </w:rPr>
        <w:t>农田灌溉水质标准</w:t>
      </w:r>
      <w:r>
        <w:rPr>
          <w:sz w:val="24"/>
          <w:lang w:val="zh-CN"/>
        </w:rPr>
        <w:t>》（GB</w:t>
      </w:r>
      <w:r>
        <w:rPr>
          <w:rFonts w:hint="eastAsia"/>
          <w:sz w:val="24"/>
          <w:lang w:val="zh-CN"/>
        </w:rPr>
        <w:t>5084</w:t>
      </w:r>
      <w:r>
        <w:rPr>
          <w:sz w:val="24"/>
          <w:lang w:val="zh-CN"/>
        </w:rPr>
        <w:t>-200</w:t>
      </w:r>
      <w:r>
        <w:rPr>
          <w:rFonts w:hint="eastAsia"/>
          <w:sz w:val="24"/>
          <w:lang w:val="zh-CN"/>
        </w:rPr>
        <w:t>5</w:t>
      </w:r>
      <w:r>
        <w:rPr>
          <w:sz w:val="24"/>
          <w:lang w:val="zh-CN"/>
        </w:rPr>
        <w:t>）中</w:t>
      </w:r>
      <w:r>
        <w:rPr>
          <w:rFonts w:hint="eastAsia"/>
          <w:sz w:val="24"/>
          <w:lang w:val="zh-CN"/>
        </w:rPr>
        <w:t>水作</w:t>
      </w:r>
      <w:r>
        <w:rPr>
          <w:sz w:val="24"/>
          <w:lang w:val="zh-CN"/>
        </w:rPr>
        <w:t>标准</w:t>
      </w:r>
      <w:r>
        <w:rPr>
          <w:rFonts w:hint="eastAsia"/>
          <w:sz w:val="24"/>
          <w:lang w:val="zh-CN"/>
        </w:rPr>
        <w:t>，</w:t>
      </w:r>
      <w:r>
        <w:rPr>
          <w:rFonts w:hint="eastAsia" w:ascii="Times New Roman" w:hAnsi="Times New Roman" w:cs="Times New Roman"/>
          <w:b w:val="0"/>
          <w:bCs w:val="0"/>
          <w:color w:val="000000" w:themeColor="text1"/>
          <w:sz w:val="24"/>
          <w:szCs w:val="24"/>
          <w:lang w:val="en-US" w:eastAsia="zh-CN"/>
        </w:rPr>
        <w:t>后排入项目东面的小渠，</w:t>
      </w:r>
      <w:r>
        <w:rPr>
          <w:sz w:val="24"/>
          <w:lang w:val="zh-CN"/>
        </w:rPr>
        <w:t>对周围水环境影响较小。</w:t>
      </w:r>
    </w:p>
    <w:p>
      <w:pPr>
        <w:spacing w:line="360" w:lineRule="auto"/>
        <w:ind w:firstLine="482" w:firstLineChars="200"/>
        <w:rPr>
          <w:b/>
          <w:bCs/>
          <w:sz w:val="24"/>
          <w:lang w:val="zh-CN"/>
        </w:rPr>
      </w:pPr>
      <w:bookmarkStart w:id="30" w:name="_Toc31502"/>
      <w:bookmarkStart w:id="31" w:name="_Toc15520"/>
      <w:bookmarkStart w:id="32" w:name="_Toc437328366"/>
      <w:bookmarkStart w:id="33" w:name="_Toc13312"/>
      <w:r>
        <w:rPr>
          <w:b/>
          <w:bCs/>
          <w:sz w:val="24"/>
          <w:lang w:val="zh-CN"/>
        </w:rPr>
        <w:t>地下水环境影响分析结论</w:t>
      </w:r>
      <w:bookmarkEnd w:id="30"/>
      <w:bookmarkEnd w:id="31"/>
      <w:bookmarkEnd w:id="32"/>
      <w:bookmarkEnd w:id="33"/>
    </w:p>
    <w:p>
      <w:pPr>
        <w:spacing w:line="360" w:lineRule="auto"/>
        <w:ind w:firstLine="480" w:firstLineChars="200"/>
        <w:rPr>
          <w:sz w:val="24"/>
          <w:lang w:val="zh-CN"/>
        </w:rPr>
      </w:pPr>
      <w:r>
        <w:rPr>
          <w:sz w:val="24"/>
          <w:lang w:val="zh-CN"/>
        </w:rPr>
        <w:t>项目做好生活污水的有组织收集工作，并对油罐和罐区等采取严格的防渗措施，对地下水影响较小。</w:t>
      </w:r>
    </w:p>
    <w:p>
      <w:pPr>
        <w:spacing w:line="360" w:lineRule="auto"/>
        <w:ind w:firstLine="482" w:firstLineChars="200"/>
        <w:rPr>
          <w:b/>
          <w:bCs/>
          <w:sz w:val="24"/>
          <w:lang w:val="zh-CN"/>
        </w:rPr>
      </w:pPr>
      <w:bookmarkStart w:id="34" w:name="_Toc24433"/>
      <w:bookmarkStart w:id="35" w:name="_Toc24918"/>
      <w:bookmarkStart w:id="36" w:name="_Toc437328367"/>
      <w:bookmarkStart w:id="37" w:name="_Toc31552"/>
      <w:r>
        <w:rPr>
          <w:b/>
          <w:bCs/>
          <w:sz w:val="24"/>
          <w:lang w:val="zh-CN"/>
        </w:rPr>
        <w:t>声环境影响分析结论</w:t>
      </w:r>
      <w:bookmarkEnd w:id="34"/>
      <w:bookmarkEnd w:id="35"/>
      <w:bookmarkEnd w:id="36"/>
      <w:bookmarkEnd w:id="37"/>
    </w:p>
    <w:p>
      <w:pPr>
        <w:spacing w:line="360" w:lineRule="auto"/>
        <w:ind w:firstLine="480" w:firstLineChars="200"/>
        <w:rPr>
          <w:sz w:val="24"/>
          <w:lang w:val="zh-CN"/>
        </w:rPr>
      </w:pPr>
      <w:r>
        <w:rPr>
          <w:sz w:val="24"/>
          <w:lang w:val="zh-CN"/>
        </w:rPr>
        <w:t>项目运行期噪声主要来源于油泵、加油机等设备运行时产生的机械噪声和进出车辆产生的交通噪声，通过选用低噪声设备、基础减振、合理布置、绿化吸声、禁止鸣笛等降噪措施降低噪声值，采取上述措施后，各厂界噪声均</w:t>
      </w:r>
      <w:r>
        <w:rPr>
          <w:rFonts w:hint="eastAsia"/>
          <w:sz w:val="24"/>
          <w:lang w:val="zh-CN"/>
        </w:rPr>
        <w:t>不</w:t>
      </w:r>
      <w:r>
        <w:rPr>
          <w:sz w:val="24"/>
          <w:lang w:val="zh-CN"/>
        </w:rPr>
        <w:t>符合《工业企业厂界环境噪声排放标准》(GB12348-2008)中2类</w:t>
      </w:r>
      <w:r>
        <w:rPr>
          <w:rFonts w:hint="eastAsia"/>
          <w:sz w:val="24"/>
          <w:lang w:val="zh-CN"/>
        </w:rPr>
        <w:t>、4</w:t>
      </w:r>
      <w:r>
        <w:rPr>
          <w:rFonts w:hint="eastAsia"/>
          <w:sz w:val="24"/>
          <w:lang w:val="en-US" w:eastAsia="zh-CN"/>
        </w:rPr>
        <w:t>a</w:t>
      </w:r>
      <w:r>
        <w:rPr>
          <w:rFonts w:hint="eastAsia"/>
          <w:sz w:val="24"/>
          <w:lang w:val="zh-CN"/>
        </w:rPr>
        <w:t>类</w:t>
      </w:r>
      <w:r>
        <w:rPr>
          <w:sz w:val="24"/>
          <w:lang w:val="zh-CN"/>
        </w:rPr>
        <w:t>标准，</w:t>
      </w:r>
      <w:r>
        <w:rPr>
          <w:rFonts w:hint="eastAsia"/>
          <w:sz w:val="24"/>
          <w:lang w:val="zh-CN"/>
        </w:rPr>
        <w:t>项目</w:t>
      </w:r>
      <w:r>
        <w:rPr>
          <w:sz w:val="24"/>
          <w:lang w:val="zh-CN"/>
        </w:rPr>
        <w:t>对周围环境影响较小。</w:t>
      </w:r>
    </w:p>
    <w:p>
      <w:pPr>
        <w:tabs>
          <w:tab w:val="left" w:pos="1050"/>
        </w:tabs>
        <w:spacing w:line="360" w:lineRule="auto"/>
        <w:ind w:firstLine="480"/>
        <w:rPr>
          <w:b/>
          <w:bCs/>
          <w:color w:val="FF0000"/>
          <w:sz w:val="24"/>
        </w:rPr>
      </w:pPr>
      <w:bookmarkStart w:id="38" w:name="_Toc466360757"/>
      <w:r>
        <w:rPr>
          <w:rFonts w:hint="eastAsia"/>
          <w:b/>
          <w:bCs/>
          <w:color w:val="FF0000"/>
          <w:sz w:val="24"/>
        </w:rPr>
        <w:t>废水污染防治措施</w:t>
      </w:r>
      <w:bookmarkEnd w:id="38"/>
    </w:p>
    <w:p>
      <w:pPr>
        <w:tabs>
          <w:tab w:val="left" w:pos="1050"/>
        </w:tabs>
        <w:spacing w:line="360" w:lineRule="auto"/>
        <w:ind w:firstLine="480"/>
        <w:rPr>
          <w:lang w:val="zh-CN"/>
        </w:rPr>
      </w:pPr>
      <w:r>
        <w:rPr>
          <w:color w:val="FF0000"/>
          <w:sz w:val="24"/>
        </w:rPr>
        <w:t>本项目无生产废水产生。</w:t>
      </w:r>
      <w:r>
        <w:rPr>
          <w:rFonts w:hint="eastAsia"/>
          <w:color w:val="FF0000"/>
          <w:sz w:val="24"/>
        </w:rPr>
        <w:t>地面冲洗水经隔油沉淀处理后与生活污水混合纳入市政污水管网</w:t>
      </w:r>
      <w:r>
        <w:rPr>
          <w:color w:val="FF0000"/>
          <w:sz w:val="24"/>
        </w:rPr>
        <w:t>。生活污水经</w:t>
      </w:r>
      <w:r>
        <w:rPr>
          <w:rFonts w:hint="eastAsia"/>
          <w:color w:val="FF0000"/>
          <w:sz w:val="24"/>
        </w:rPr>
        <w:t>化粪池处理后，排入市政污水管网。</w:t>
      </w:r>
      <w:r>
        <w:rPr>
          <w:color w:val="FF0000"/>
          <w:sz w:val="24"/>
        </w:rPr>
        <w:t>对地表水的水质影响较小。</w:t>
      </w:r>
    </w:p>
    <w:p>
      <w:pPr>
        <w:spacing w:line="360" w:lineRule="auto"/>
        <w:ind w:firstLine="482" w:firstLineChars="200"/>
        <w:rPr>
          <w:b/>
          <w:bCs/>
          <w:sz w:val="24"/>
          <w:lang w:val="zh-CN"/>
        </w:rPr>
      </w:pPr>
      <w:bookmarkStart w:id="39" w:name="_Toc437328368"/>
      <w:bookmarkStart w:id="40" w:name="_Toc14208"/>
      <w:bookmarkStart w:id="41" w:name="_Toc20165"/>
      <w:bookmarkStart w:id="42" w:name="_Toc13718"/>
      <w:r>
        <w:rPr>
          <w:b/>
          <w:bCs/>
          <w:sz w:val="24"/>
          <w:lang w:val="zh-CN"/>
        </w:rPr>
        <w:t>固体废物环境影响分析结论</w:t>
      </w:r>
      <w:bookmarkEnd w:id="39"/>
      <w:bookmarkEnd w:id="40"/>
      <w:bookmarkEnd w:id="41"/>
      <w:bookmarkEnd w:id="42"/>
    </w:p>
    <w:p>
      <w:pPr>
        <w:spacing w:line="360" w:lineRule="auto"/>
        <w:ind w:firstLine="480" w:firstLineChars="200"/>
        <w:rPr>
          <w:sz w:val="24"/>
          <w:lang w:val="zh-CN"/>
        </w:rPr>
      </w:pPr>
      <w:r>
        <w:rPr>
          <w:sz w:val="24"/>
          <w:lang w:val="zh-CN"/>
        </w:rPr>
        <w:t>项目产生的生活垃圾，定点放置、集中收集，由环卫部门及时清运至生活垃圾填埋场处理；每年清理两次油罐产生的废油及油渣属于危险废物，委托有危险废物处置资质单位处置。项目产生的固废经上述处理后，做到零排放，对周围环境影响较小。</w:t>
      </w:r>
    </w:p>
    <w:p>
      <w:pPr>
        <w:spacing w:line="360" w:lineRule="auto"/>
        <w:ind w:firstLine="482" w:firstLineChars="200"/>
        <w:rPr>
          <w:b/>
          <w:bCs/>
          <w:sz w:val="24"/>
          <w:lang w:val="zh-CN"/>
        </w:rPr>
      </w:pPr>
      <w:bookmarkStart w:id="43" w:name="_Toc18503"/>
      <w:bookmarkStart w:id="44" w:name="_Toc11171"/>
      <w:bookmarkStart w:id="45" w:name="_Toc13361"/>
      <w:bookmarkStart w:id="46" w:name="_Toc437328369"/>
      <w:r>
        <w:rPr>
          <w:b/>
          <w:bCs/>
          <w:sz w:val="24"/>
          <w:lang w:val="zh-CN"/>
        </w:rPr>
        <w:t>环境风险影响分析结论</w:t>
      </w:r>
      <w:bookmarkEnd w:id="43"/>
      <w:bookmarkEnd w:id="44"/>
      <w:bookmarkEnd w:id="45"/>
      <w:bookmarkEnd w:id="46"/>
    </w:p>
    <w:p>
      <w:pPr>
        <w:tabs>
          <w:tab w:val="left" w:pos="1050"/>
        </w:tabs>
        <w:spacing w:line="360" w:lineRule="auto"/>
        <w:ind w:firstLine="480"/>
        <w:rPr>
          <w:color w:val="FF0000"/>
          <w:sz w:val="24"/>
        </w:rPr>
      </w:pPr>
      <w:r>
        <w:rPr>
          <w:rFonts w:hint="eastAsia"/>
          <w:color w:val="FF0000"/>
          <w:sz w:val="24"/>
        </w:rPr>
        <w:t xml:space="preserve">根据环境现状和污染源监测： </w:t>
      </w:r>
    </w:p>
    <w:p>
      <w:pPr>
        <w:tabs>
          <w:tab w:val="left" w:pos="1050"/>
        </w:tabs>
        <w:spacing w:line="360" w:lineRule="auto"/>
        <w:ind w:firstLine="480"/>
        <w:rPr>
          <w:color w:val="FF0000"/>
          <w:sz w:val="24"/>
        </w:rPr>
      </w:pPr>
      <w:r>
        <w:rPr>
          <w:rFonts w:hint="eastAsia"/>
          <w:color w:val="FF0000"/>
          <w:sz w:val="24"/>
        </w:rPr>
        <w:t>1、经</w:t>
      </w:r>
      <w:r>
        <w:rPr>
          <w:color w:val="FF0000"/>
          <w:sz w:val="24"/>
        </w:rPr>
        <w:t>卸油油气回收系统</w:t>
      </w:r>
      <w:r>
        <w:rPr>
          <w:rFonts w:hint="eastAsia"/>
          <w:color w:val="FF0000"/>
          <w:sz w:val="24"/>
        </w:rPr>
        <w:t>及加油枪油气回收系统后，各排放口排放浓度小于《加油站大气污染物排放标准》（GB20952-2007）中处理装置的油气排放浓度要求。</w:t>
      </w:r>
    </w:p>
    <w:p>
      <w:pPr>
        <w:tabs>
          <w:tab w:val="left" w:pos="1050"/>
        </w:tabs>
        <w:spacing w:line="360" w:lineRule="auto"/>
        <w:ind w:firstLine="480"/>
        <w:rPr>
          <w:color w:val="FF0000"/>
          <w:sz w:val="24"/>
        </w:rPr>
      </w:pPr>
      <w:r>
        <w:rPr>
          <w:rFonts w:hint="eastAsia"/>
          <w:color w:val="FF0000"/>
          <w:sz w:val="24"/>
        </w:rPr>
        <w:t>备用发电机产生的废气排放速率均</w:t>
      </w:r>
      <w:r>
        <w:rPr>
          <w:color w:val="FF0000"/>
          <w:sz w:val="24"/>
        </w:rPr>
        <w:t>可满足《非道路移动机械用柴油机排气污染物排放限值及测量方法（中国三、四阶段）》</w:t>
      </w:r>
      <w:r>
        <w:rPr>
          <w:rFonts w:hint="eastAsia"/>
          <w:color w:val="FF0000"/>
          <w:sz w:val="24"/>
        </w:rPr>
        <w:t>（</w:t>
      </w:r>
      <w:r>
        <w:rPr>
          <w:color w:val="FF0000"/>
          <w:sz w:val="24"/>
        </w:rPr>
        <w:t>GB20891-2014</w:t>
      </w:r>
      <w:r>
        <w:rPr>
          <w:rFonts w:hint="eastAsia"/>
          <w:color w:val="FF0000"/>
          <w:sz w:val="24"/>
        </w:rPr>
        <w:t>）</w:t>
      </w:r>
      <w:r>
        <w:rPr>
          <w:color w:val="FF0000"/>
          <w:sz w:val="24"/>
        </w:rPr>
        <w:t>中第三阶段排放标准</w:t>
      </w:r>
      <w:r>
        <w:rPr>
          <w:rFonts w:hint="eastAsia"/>
          <w:color w:val="FF0000"/>
          <w:sz w:val="24"/>
        </w:rPr>
        <w:t xml:space="preserve">。 </w:t>
      </w:r>
    </w:p>
    <w:p>
      <w:pPr>
        <w:tabs>
          <w:tab w:val="left" w:pos="1050"/>
        </w:tabs>
        <w:spacing w:line="360" w:lineRule="auto"/>
        <w:ind w:firstLine="480"/>
        <w:rPr>
          <w:color w:val="FF0000"/>
          <w:sz w:val="24"/>
        </w:rPr>
      </w:pPr>
      <w:r>
        <w:rPr>
          <w:rFonts w:hint="eastAsia"/>
          <w:color w:val="FF0000"/>
          <w:sz w:val="24"/>
        </w:rPr>
        <w:t>厂界四周非甲烷总烃浓度能够满足《大气污染物综合排放标准》（GB16297-1996）表2中无组织排放监控浓度限值要求。</w:t>
      </w:r>
    </w:p>
    <w:p>
      <w:pPr>
        <w:tabs>
          <w:tab w:val="left" w:pos="1050"/>
        </w:tabs>
        <w:spacing w:line="360" w:lineRule="auto"/>
        <w:ind w:firstLine="480"/>
        <w:rPr>
          <w:color w:val="FF0000"/>
          <w:sz w:val="24"/>
        </w:rPr>
      </w:pPr>
      <w:r>
        <w:rPr>
          <w:rFonts w:hint="eastAsia"/>
          <w:color w:val="FF0000"/>
          <w:sz w:val="24"/>
        </w:rPr>
        <w:t>2、本项目无生产废水产生，地面冲洗水经隔油沉淀后与生活污水混合纳入市政污水管网</w:t>
      </w:r>
      <w:r>
        <w:rPr>
          <w:color w:val="FF0000"/>
          <w:sz w:val="24"/>
        </w:rPr>
        <w:t>。生活污水经</w:t>
      </w:r>
      <w:r>
        <w:rPr>
          <w:rFonts w:hint="eastAsia"/>
          <w:color w:val="FF0000"/>
          <w:sz w:val="24"/>
        </w:rPr>
        <w:t>化粪池处理后，排入市政污水管网。</w:t>
      </w:r>
    </w:p>
    <w:p>
      <w:pPr>
        <w:tabs>
          <w:tab w:val="left" w:pos="1050"/>
        </w:tabs>
        <w:spacing w:line="360" w:lineRule="auto"/>
        <w:ind w:firstLine="480"/>
        <w:rPr>
          <w:color w:val="FF0000"/>
          <w:sz w:val="24"/>
        </w:rPr>
      </w:pPr>
      <w:r>
        <w:rPr>
          <w:rFonts w:hint="eastAsia"/>
          <w:color w:val="FF0000"/>
          <w:sz w:val="24"/>
        </w:rPr>
        <w:t xml:space="preserve">3、厂界噪声排放满足《工业企业厂界环境噪声排放标准》(GB12348-2008)中 3类标准； </w:t>
      </w:r>
    </w:p>
    <w:p>
      <w:pPr>
        <w:tabs>
          <w:tab w:val="left" w:pos="1050"/>
        </w:tabs>
        <w:spacing w:line="360" w:lineRule="auto"/>
        <w:ind w:firstLine="480"/>
        <w:rPr>
          <w:color w:val="FF0000"/>
          <w:sz w:val="24"/>
        </w:rPr>
      </w:pPr>
      <w:r>
        <w:rPr>
          <w:rFonts w:hint="eastAsia"/>
          <w:color w:val="FF0000"/>
          <w:sz w:val="24"/>
        </w:rPr>
        <w:t xml:space="preserve">4、各类固废均可资源化处理，对环境影响较小。 </w:t>
      </w:r>
    </w:p>
    <w:p>
      <w:pPr>
        <w:tabs>
          <w:tab w:val="left" w:pos="1050"/>
        </w:tabs>
        <w:spacing w:line="360" w:lineRule="auto"/>
        <w:ind w:firstLine="480"/>
        <w:rPr>
          <w:color w:val="FF0000"/>
          <w:sz w:val="24"/>
        </w:rPr>
      </w:pPr>
      <w:r>
        <w:rPr>
          <w:rFonts w:hint="eastAsia"/>
          <w:color w:val="FF0000"/>
          <w:sz w:val="24"/>
        </w:rPr>
        <w:t>综上所述，通过现场核查和实际监测结果，项目生产过程中废气、噪声、固废全部采取完善可行的污染防治措施和废物综合利用措施，并治理后可以达标排放、固体废物可以合理处理处置。</w:t>
      </w:r>
    </w:p>
    <w:p>
      <w:pPr>
        <w:tabs>
          <w:tab w:val="left" w:pos="1050"/>
        </w:tabs>
        <w:spacing w:line="360" w:lineRule="auto"/>
        <w:ind w:firstLine="480"/>
        <w:rPr>
          <w:color w:val="FF0000"/>
          <w:sz w:val="24"/>
        </w:rPr>
      </w:pPr>
      <w:bookmarkStart w:id="47" w:name="_Toc466360761"/>
      <w:r>
        <w:rPr>
          <w:rFonts w:hint="eastAsia"/>
          <w:color w:val="FF0000"/>
          <w:sz w:val="24"/>
        </w:rPr>
        <w:t>污染防治</w:t>
      </w:r>
      <w:r>
        <w:rPr>
          <w:color w:val="FF0000"/>
          <w:sz w:val="24"/>
        </w:rPr>
        <w:t>措施</w:t>
      </w:r>
      <w:r>
        <w:rPr>
          <w:rFonts w:hint="eastAsia"/>
          <w:color w:val="FF0000"/>
          <w:sz w:val="24"/>
        </w:rPr>
        <w:t>评价结论及改进措施</w:t>
      </w:r>
      <w:bookmarkEnd w:id="47"/>
    </w:p>
    <w:p>
      <w:pPr>
        <w:tabs>
          <w:tab w:val="left" w:pos="1050"/>
        </w:tabs>
        <w:spacing w:line="360" w:lineRule="auto"/>
        <w:ind w:firstLine="480"/>
        <w:rPr>
          <w:color w:val="FF0000"/>
          <w:sz w:val="24"/>
        </w:rPr>
      </w:pPr>
      <w:r>
        <w:rPr>
          <w:rFonts w:hint="eastAsia"/>
          <w:color w:val="FF0000"/>
          <w:sz w:val="24"/>
        </w:rPr>
        <w:t xml:space="preserve">通过以上分析，营运期的废气、噪声、固体废物的处理措施在经济、技术上可行，措施有效。但为了更好的满足相应的环境质量标准要求，现提出部分进一步减轻环境影响的意见： </w:t>
      </w:r>
    </w:p>
    <w:p>
      <w:pPr>
        <w:tabs>
          <w:tab w:val="left" w:pos="1050"/>
        </w:tabs>
        <w:spacing w:line="360" w:lineRule="auto"/>
        <w:ind w:firstLine="480"/>
        <w:rPr>
          <w:color w:val="FF0000"/>
          <w:sz w:val="24"/>
        </w:rPr>
      </w:pPr>
      <w:r>
        <w:rPr>
          <w:rFonts w:hint="eastAsia"/>
          <w:color w:val="FF0000"/>
          <w:sz w:val="24"/>
        </w:rPr>
        <w:t xml:space="preserve">废气：定期对油气回收系统进行维护，禁止事故排放。 </w:t>
      </w:r>
    </w:p>
    <w:p>
      <w:pPr>
        <w:tabs>
          <w:tab w:val="left" w:pos="1050"/>
        </w:tabs>
        <w:spacing w:line="360" w:lineRule="auto"/>
        <w:ind w:firstLine="480"/>
        <w:rPr>
          <w:color w:val="FF0000"/>
          <w:sz w:val="24"/>
        </w:rPr>
      </w:pPr>
      <w:r>
        <w:rPr>
          <w:rFonts w:hint="eastAsia"/>
          <w:color w:val="FF0000"/>
          <w:sz w:val="24"/>
        </w:rPr>
        <w:t xml:space="preserve">废水：定期对化粪池进行清理。 </w:t>
      </w:r>
    </w:p>
    <w:p>
      <w:pPr>
        <w:tabs>
          <w:tab w:val="left" w:pos="1050"/>
        </w:tabs>
        <w:spacing w:line="360" w:lineRule="auto"/>
        <w:ind w:firstLine="480"/>
        <w:rPr>
          <w:color w:val="FF0000"/>
          <w:sz w:val="24"/>
        </w:rPr>
      </w:pPr>
      <w:r>
        <w:rPr>
          <w:rFonts w:hint="eastAsia"/>
          <w:color w:val="FF0000"/>
          <w:sz w:val="24"/>
        </w:rPr>
        <w:t xml:space="preserve">噪声：保证生产设备在正常工况下运作。 </w:t>
      </w:r>
    </w:p>
    <w:p>
      <w:pPr>
        <w:spacing w:line="360" w:lineRule="auto"/>
        <w:ind w:firstLine="480" w:firstLineChars="200"/>
        <w:rPr>
          <w:sz w:val="24"/>
          <w:lang w:val="zh-CN"/>
        </w:rPr>
      </w:pPr>
      <w:r>
        <w:rPr>
          <w:rFonts w:hint="eastAsia"/>
          <w:color w:val="FF0000"/>
          <w:sz w:val="24"/>
        </w:rPr>
        <w:t>固废：加强危险固废管理，建立生活垃圾分类收集制度，禁止随意丢弃。</w:t>
      </w:r>
    </w:p>
    <w:p>
      <w:pPr>
        <w:spacing w:line="360" w:lineRule="auto"/>
        <w:ind w:firstLine="482" w:firstLineChars="200"/>
        <w:rPr>
          <w:b/>
          <w:bCs/>
          <w:sz w:val="24"/>
          <w:lang w:val="zh-CN"/>
        </w:rPr>
      </w:pPr>
      <w:bookmarkStart w:id="48" w:name="_Toc23471"/>
      <w:bookmarkStart w:id="49" w:name="_Toc13032"/>
      <w:bookmarkStart w:id="50" w:name="_Toc20990"/>
      <w:bookmarkStart w:id="51" w:name="_Toc9147"/>
      <w:r>
        <w:rPr>
          <w:b/>
          <w:bCs/>
          <w:sz w:val="24"/>
          <w:lang w:val="zh-CN"/>
        </w:rPr>
        <w:t>措施</w:t>
      </w:r>
      <w:bookmarkEnd w:id="48"/>
      <w:bookmarkEnd w:id="49"/>
      <w:bookmarkEnd w:id="50"/>
      <w:bookmarkEnd w:id="51"/>
    </w:p>
    <w:p>
      <w:pPr>
        <w:spacing w:line="360" w:lineRule="auto"/>
        <w:ind w:firstLine="480" w:firstLineChars="200"/>
        <w:rPr>
          <w:sz w:val="24"/>
          <w:lang w:val="zh-CN"/>
        </w:rPr>
      </w:pPr>
      <w:r>
        <w:rPr>
          <w:sz w:val="24"/>
          <w:lang w:val="zh-CN"/>
        </w:rPr>
        <w:t>项目的环保措施要与项目主体工程同时设计、同时施工、同时投产，确保各项防治措施落实到位，实现经济效益、社会效益与环境效益的统一与协调发展。</w:t>
      </w:r>
    </w:p>
    <w:p>
      <w:pPr>
        <w:spacing w:line="360" w:lineRule="auto"/>
        <w:ind w:firstLine="480" w:firstLineChars="200"/>
        <w:rPr>
          <w:sz w:val="24"/>
          <w:lang w:val="zh-CN"/>
        </w:rPr>
      </w:pPr>
      <w:r>
        <w:rPr>
          <w:sz w:val="24"/>
          <w:lang w:val="zh-CN"/>
        </w:rPr>
        <w:t>确保油气</w:t>
      </w:r>
      <w:r>
        <w:rPr>
          <w:rFonts w:hint="eastAsia"/>
          <w:sz w:val="24"/>
          <w:lang w:val="zh-CN"/>
        </w:rPr>
        <w:t>三级</w:t>
      </w:r>
      <w:r>
        <w:rPr>
          <w:sz w:val="24"/>
          <w:lang w:val="zh-CN"/>
        </w:rPr>
        <w:t>回收系统的稳定正常运行，保证厂界无组织废气达标排放。</w:t>
      </w:r>
    </w:p>
    <w:p>
      <w:pPr>
        <w:spacing w:line="360" w:lineRule="auto"/>
        <w:ind w:firstLine="480" w:firstLineChars="200"/>
        <w:rPr>
          <w:sz w:val="24"/>
          <w:lang w:val="zh-CN"/>
        </w:rPr>
      </w:pPr>
      <w:r>
        <w:rPr>
          <w:sz w:val="24"/>
          <w:lang w:val="zh-CN"/>
        </w:rPr>
        <w:t>⑵确保生活污水排入市政污水管网，不外排，对周围地表水环境影响较小。</w:t>
      </w:r>
    </w:p>
    <w:p>
      <w:pPr>
        <w:spacing w:line="360" w:lineRule="auto"/>
        <w:ind w:firstLine="480" w:firstLineChars="200"/>
        <w:rPr>
          <w:sz w:val="24"/>
          <w:lang w:val="zh-CN"/>
        </w:rPr>
      </w:pPr>
      <w:r>
        <w:rPr>
          <w:sz w:val="24"/>
          <w:lang w:val="zh-CN"/>
        </w:rPr>
        <w:t>⑶做好加油机械设备的基础减振处理，做好厂区绿化。</w:t>
      </w:r>
    </w:p>
    <w:p>
      <w:pPr>
        <w:spacing w:line="360" w:lineRule="auto"/>
        <w:ind w:firstLine="480" w:firstLineChars="200"/>
        <w:rPr>
          <w:sz w:val="24"/>
          <w:lang w:val="zh-CN"/>
        </w:rPr>
      </w:pPr>
      <w:r>
        <w:rPr>
          <w:sz w:val="24"/>
          <w:lang w:val="zh-CN"/>
        </w:rPr>
        <w:t>⑷保持生活垃圾堆放点定期消毒、清理，防止病菌滋生、疾病的传播；保证废油及油渣由有危险废物处置资质的单位处理。</w:t>
      </w:r>
    </w:p>
    <w:p>
      <w:pPr>
        <w:spacing w:line="360" w:lineRule="auto"/>
        <w:ind w:firstLine="482" w:firstLineChars="200"/>
        <w:rPr>
          <w:b/>
          <w:bCs/>
          <w:sz w:val="24"/>
          <w:lang w:val="zh-CN"/>
        </w:rPr>
      </w:pPr>
      <w:bookmarkStart w:id="52" w:name="_Toc14359"/>
      <w:bookmarkStart w:id="53" w:name="_Toc7957"/>
      <w:bookmarkStart w:id="54" w:name="_Toc6088"/>
      <w:bookmarkStart w:id="55" w:name="_Toc4675"/>
      <w:r>
        <w:rPr>
          <w:b/>
          <w:bCs/>
          <w:sz w:val="24"/>
          <w:lang w:val="zh-CN"/>
        </w:rPr>
        <w:t>建议</w:t>
      </w:r>
      <w:bookmarkEnd w:id="52"/>
      <w:bookmarkEnd w:id="53"/>
      <w:bookmarkEnd w:id="54"/>
      <w:bookmarkEnd w:id="55"/>
    </w:p>
    <w:p>
      <w:pPr>
        <w:spacing w:line="360" w:lineRule="auto"/>
        <w:ind w:firstLine="480" w:firstLineChars="200"/>
        <w:rPr>
          <w:sz w:val="24"/>
          <w:lang w:val="zh-CN"/>
        </w:rPr>
      </w:pPr>
      <w:r>
        <w:rPr>
          <w:sz w:val="24"/>
          <w:lang w:val="zh-CN"/>
        </w:rPr>
        <w:t>1、企业应严格落实此次评价中提到各项环保措施，确保环保设施稳定运行。</w:t>
      </w:r>
    </w:p>
    <w:p>
      <w:pPr>
        <w:spacing w:line="360" w:lineRule="auto"/>
        <w:ind w:firstLine="480" w:firstLineChars="200"/>
        <w:rPr>
          <w:sz w:val="24"/>
          <w:lang w:val="zh-CN"/>
        </w:rPr>
      </w:pPr>
      <w:r>
        <w:rPr>
          <w:rFonts w:hint="eastAsia"/>
          <w:sz w:val="24"/>
          <w:lang w:val="zh-CN"/>
        </w:rPr>
        <w:t>2</w:t>
      </w:r>
      <w:r>
        <w:rPr>
          <w:sz w:val="24"/>
          <w:lang w:val="zh-CN"/>
        </w:rPr>
        <w:t>、企业在进行罐体修理等动火作业时，应确保罐体内油料清理完毕，防止因动火引燃罐内油气产生爆炸事故。</w:t>
      </w:r>
    </w:p>
    <w:p>
      <w:pPr>
        <w:spacing w:line="360" w:lineRule="auto"/>
        <w:ind w:firstLine="480" w:firstLineChars="200"/>
        <w:rPr>
          <w:sz w:val="24"/>
          <w:lang w:val="zh-CN"/>
        </w:rPr>
      </w:pPr>
      <w:r>
        <w:rPr>
          <w:rFonts w:hint="eastAsia"/>
          <w:sz w:val="24"/>
          <w:lang w:val="zh-CN"/>
        </w:rPr>
        <w:t>3</w:t>
      </w:r>
      <w:r>
        <w:rPr>
          <w:sz w:val="24"/>
          <w:lang w:val="zh-CN"/>
        </w:rPr>
        <w:t>、建设单位应制定完善的《环境风险应急预案》，并组织专家审查后，报送环保部门备案。</w:t>
      </w:r>
    </w:p>
    <w:p>
      <w:pPr>
        <w:autoSpaceDE w:val="0"/>
        <w:autoSpaceDN w:val="0"/>
        <w:adjustRightInd w:val="0"/>
        <w:snapToGrid w:val="0"/>
        <w:spacing w:beforeLines="100" w:afterLines="50" w:line="360" w:lineRule="auto"/>
        <w:jc w:val="left"/>
        <w:outlineLvl w:val="0"/>
        <w:rPr>
          <w:b/>
          <w:bCs/>
          <w:sz w:val="24"/>
        </w:rPr>
      </w:pPr>
      <w:bookmarkStart w:id="56" w:name="_Toc11958"/>
      <w:r>
        <w:rPr>
          <w:b/>
          <w:bCs/>
          <w:sz w:val="24"/>
        </w:rPr>
        <w:t>3.7 现有应急物资与装备、救援队伍情况</w:t>
      </w:r>
      <w:bookmarkEnd w:id="56"/>
    </w:p>
    <w:p>
      <w:pPr>
        <w:pStyle w:val="13"/>
        <w:spacing w:line="360" w:lineRule="auto"/>
        <w:jc w:val="both"/>
        <w:rPr>
          <w:rFonts w:ascii="Times New Roman" w:hAnsi="Times New Roman"/>
          <w:b/>
          <w:bCs/>
        </w:rPr>
      </w:pPr>
      <w:r>
        <w:rPr>
          <w:rFonts w:ascii="Times New Roman" w:hAnsi="Times New Roman"/>
          <w:b/>
          <w:bCs/>
        </w:rPr>
        <w:t>1、主要消防器材</w:t>
      </w:r>
    </w:p>
    <w:p>
      <w:pPr>
        <w:pStyle w:val="13"/>
        <w:spacing w:beforeAutospacing="0" w:afterAutospacing="0"/>
        <w:jc w:val="center"/>
        <w:rPr>
          <w:rFonts w:ascii="Times New Roman" w:hAnsi="Times New Roman"/>
          <w:b/>
          <w:bCs/>
        </w:rPr>
      </w:pPr>
      <w:r>
        <w:rPr>
          <w:rFonts w:ascii="Times New Roman" w:hAnsi="Times New Roman"/>
          <w:b/>
          <w:bCs/>
          <w:sz w:val="21"/>
          <w:szCs w:val="21"/>
        </w:rPr>
        <w:t>表3-6 消防器材</w:t>
      </w:r>
    </w:p>
    <w:tbl>
      <w:tblPr>
        <w:tblStyle w:val="14"/>
        <w:tblpPr w:leftFromText="180" w:rightFromText="180" w:vertAnchor="text" w:horzAnchor="page" w:tblpX="2073" w:tblpY="256"/>
        <w:tblOverlap w:val="never"/>
        <w:tblW w:w="8249" w:type="dxa"/>
        <w:tblInd w:w="0"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108" w:type="dxa"/>
          <w:bottom w:w="0" w:type="dxa"/>
          <w:right w:w="108" w:type="dxa"/>
        </w:tblCellMar>
      </w:tblPr>
      <w:tblGrid>
        <w:gridCol w:w="696"/>
        <w:gridCol w:w="2270"/>
        <w:gridCol w:w="1488"/>
        <w:gridCol w:w="1854"/>
        <w:gridCol w:w="678"/>
        <w:gridCol w:w="1263"/>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467" w:hRule="atLeast"/>
        </w:trPr>
        <w:tc>
          <w:tcPr>
            <w:tcW w:w="696" w:type="dxa"/>
            <w:tcBorders>
              <w:tl2br w:val="nil"/>
              <w:tr2bl w:val="nil"/>
            </w:tcBorders>
          </w:tcPr>
          <w:p>
            <w:pPr>
              <w:pStyle w:val="33"/>
              <w:spacing w:line="360" w:lineRule="exact"/>
              <w:rPr>
                <w:rFonts w:ascii="Times New Roman"/>
                <w:b/>
                <w:bCs/>
                <w:color w:val="000000" w:themeColor="text1"/>
                <w:spacing w:val="0"/>
                <w:sz w:val="21"/>
              </w:rPr>
            </w:pPr>
            <w:r>
              <w:rPr>
                <w:rFonts w:hint="eastAsia" w:ascii="Times New Roman"/>
                <w:b/>
                <w:bCs/>
                <w:color w:val="000000" w:themeColor="text1"/>
                <w:spacing w:val="0"/>
                <w:sz w:val="21"/>
              </w:rPr>
              <w:t>序号</w:t>
            </w:r>
          </w:p>
        </w:tc>
        <w:tc>
          <w:tcPr>
            <w:tcW w:w="2270" w:type="dxa"/>
            <w:tcBorders>
              <w:tl2br w:val="nil"/>
              <w:tr2bl w:val="nil"/>
            </w:tcBorders>
          </w:tcPr>
          <w:p>
            <w:pPr>
              <w:pStyle w:val="33"/>
              <w:spacing w:line="360" w:lineRule="exact"/>
              <w:rPr>
                <w:rFonts w:ascii="Times New Roman"/>
                <w:b/>
                <w:bCs/>
                <w:color w:val="000000" w:themeColor="text1"/>
                <w:spacing w:val="0"/>
                <w:sz w:val="21"/>
              </w:rPr>
            </w:pPr>
            <w:r>
              <w:rPr>
                <w:rFonts w:hint="eastAsia" w:ascii="Times New Roman"/>
                <w:b/>
                <w:bCs/>
                <w:color w:val="000000" w:themeColor="text1"/>
                <w:spacing w:val="0"/>
                <w:sz w:val="21"/>
              </w:rPr>
              <w:t>名称</w:t>
            </w:r>
          </w:p>
        </w:tc>
        <w:tc>
          <w:tcPr>
            <w:tcW w:w="1488" w:type="dxa"/>
            <w:tcBorders>
              <w:tl2br w:val="nil"/>
              <w:tr2bl w:val="nil"/>
            </w:tcBorders>
          </w:tcPr>
          <w:p>
            <w:pPr>
              <w:pStyle w:val="33"/>
              <w:spacing w:line="360" w:lineRule="exact"/>
              <w:rPr>
                <w:rFonts w:ascii="Times New Roman"/>
                <w:b/>
                <w:bCs/>
                <w:color w:val="000000" w:themeColor="text1"/>
                <w:spacing w:val="0"/>
                <w:sz w:val="21"/>
              </w:rPr>
            </w:pPr>
            <w:r>
              <w:rPr>
                <w:rFonts w:hint="eastAsia" w:ascii="Times New Roman"/>
                <w:b/>
                <w:bCs/>
                <w:color w:val="000000" w:themeColor="text1"/>
                <w:spacing w:val="0"/>
                <w:sz w:val="21"/>
              </w:rPr>
              <w:t>规格</w:t>
            </w:r>
          </w:p>
        </w:tc>
        <w:tc>
          <w:tcPr>
            <w:tcW w:w="1854" w:type="dxa"/>
            <w:tcBorders>
              <w:tl2br w:val="nil"/>
              <w:tr2bl w:val="nil"/>
            </w:tcBorders>
          </w:tcPr>
          <w:p>
            <w:pPr>
              <w:pStyle w:val="33"/>
              <w:spacing w:line="360" w:lineRule="exact"/>
              <w:rPr>
                <w:rFonts w:ascii="Times New Roman"/>
                <w:b/>
                <w:bCs/>
                <w:color w:val="000000" w:themeColor="text1"/>
                <w:spacing w:val="0"/>
                <w:sz w:val="21"/>
              </w:rPr>
            </w:pPr>
            <w:r>
              <w:rPr>
                <w:rFonts w:hint="eastAsia" w:ascii="Times New Roman"/>
                <w:b/>
                <w:bCs/>
                <w:color w:val="000000" w:themeColor="text1"/>
                <w:spacing w:val="0"/>
                <w:sz w:val="21"/>
              </w:rPr>
              <w:t>单位</w:t>
            </w:r>
          </w:p>
        </w:tc>
        <w:tc>
          <w:tcPr>
            <w:tcW w:w="678" w:type="dxa"/>
            <w:tcBorders>
              <w:tl2br w:val="nil"/>
              <w:tr2bl w:val="nil"/>
            </w:tcBorders>
          </w:tcPr>
          <w:p>
            <w:pPr>
              <w:pStyle w:val="33"/>
              <w:spacing w:line="360" w:lineRule="exact"/>
              <w:rPr>
                <w:rFonts w:ascii="Times New Roman"/>
                <w:b/>
                <w:bCs/>
                <w:color w:val="000000" w:themeColor="text1"/>
                <w:spacing w:val="0"/>
                <w:sz w:val="21"/>
              </w:rPr>
            </w:pPr>
            <w:r>
              <w:rPr>
                <w:rFonts w:hint="eastAsia" w:ascii="Times New Roman"/>
                <w:b/>
                <w:bCs/>
                <w:color w:val="000000" w:themeColor="text1"/>
                <w:spacing w:val="0"/>
                <w:sz w:val="21"/>
              </w:rPr>
              <w:t>数量</w:t>
            </w:r>
          </w:p>
        </w:tc>
        <w:tc>
          <w:tcPr>
            <w:tcW w:w="1263" w:type="dxa"/>
            <w:tcBorders>
              <w:tl2br w:val="nil"/>
              <w:tr2bl w:val="nil"/>
            </w:tcBorders>
            <w:vAlign w:val="center"/>
          </w:tcPr>
          <w:p>
            <w:pPr>
              <w:pStyle w:val="33"/>
              <w:spacing w:line="360" w:lineRule="exact"/>
              <w:rPr>
                <w:rFonts w:ascii="Times New Roman"/>
                <w:b/>
                <w:bCs/>
                <w:color w:val="000000" w:themeColor="text1"/>
                <w:spacing w:val="0"/>
                <w:sz w:val="21"/>
              </w:rPr>
            </w:pPr>
            <w:r>
              <w:rPr>
                <w:rFonts w:hint="eastAsia" w:ascii="Times New Roman"/>
                <w:b/>
                <w:bCs/>
                <w:color w:val="000000" w:themeColor="text1"/>
                <w:spacing w:val="0"/>
                <w:sz w:val="21"/>
              </w:rPr>
              <w:t>是否有效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467" w:hRule="atLeast"/>
        </w:trPr>
        <w:tc>
          <w:tcPr>
            <w:tcW w:w="696"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1</w:t>
            </w:r>
          </w:p>
        </w:tc>
        <w:tc>
          <w:tcPr>
            <w:tcW w:w="2270"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推车式干粉灭火器</w:t>
            </w:r>
          </w:p>
        </w:tc>
        <w:tc>
          <w:tcPr>
            <w:tcW w:w="1488" w:type="dxa"/>
            <w:tcBorders>
              <w:tl2br w:val="nil"/>
              <w:tr2bl w:val="nil"/>
            </w:tcBorders>
          </w:tcPr>
          <w:p>
            <w:pPr>
              <w:pStyle w:val="33"/>
              <w:spacing w:line="360" w:lineRule="exact"/>
              <w:rPr>
                <w:rFonts w:hint="eastAsia" w:ascii="Times New Roman" w:eastAsia="宋体"/>
                <w:color w:val="000000" w:themeColor="text1"/>
                <w:spacing w:val="0"/>
                <w:sz w:val="21"/>
                <w:lang w:eastAsia="zh-CN"/>
              </w:rPr>
            </w:pPr>
            <w:r>
              <w:rPr>
                <w:rFonts w:hint="eastAsia" w:ascii="Times New Roman"/>
                <w:color w:val="000000" w:themeColor="text1"/>
                <w:spacing w:val="0"/>
                <w:sz w:val="21"/>
                <w:lang w:val="en-US" w:eastAsia="zh-CN"/>
              </w:rPr>
              <w:t>/</w:t>
            </w:r>
          </w:p>
        </w:tc>
        <w:tc>
          <w:tcPr>
            <w:tcW w:w="1854"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台</w:t>
            </w:r>
          </w:p>
        </w:tc>
        <w:tc>
          <w:tcPr>
            <w:tcW w:w="678" w:type="dxa"/>
            <w:tcBorders>
              <w:tl2br w:val="nil"/>
              <w:tr2bl w:val="nil"/>
            </w:tcBorders>
          </w:tcPr>
          <w:p>
            <w:pPr>
              <w:pStyle w:val="33"/>
              <w:spacing w:line="360" w:lineRule="exact"/>
              <w:rPr>
                <w:rFonts w:hint="eastAsia" w:ascii="Times New Roman" w:eastAsia="宋体"/>
                <w:color w:val="000000" w:themeColor="text1"/>
                <w:spacing w:val="0"/>
                <w:sz w:val="21"/>
                <w:lang w:eastAsia="zh-CN"/>
              </w:rPr>
            </w:pPr>
            <w:r>
              <w:rPr>
                <w:rFonts w:hint="eastAsia" w:ascii="Times New Roman"/>
                <w:color w:val="000000" w:themeColor="text1"/>
                <w:spacing w:val="0"/>
                <w:sz w:val="21"/>
                <w:lang w:val="en-US" w:eastAsia="zh-CN"/>
              </w:rPr>
              <w:t>2</w:t>
            </w:r>
          </w:p>
        </w:tc>
        <w:tc>
          <w:tcPr>
            <w:tcW w:w="1263" w:type="dxa"/>
            <w:tcBorders>
              <w:tl2br w:val="nil"/>
              <w:tr2bl w:val="nil"/>
            </w:tcBorders>
            <w:vAlign w:val="center"/>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467" w:hRule="atLeast"/>
        </w:trPr>
        <w:tc>
          <w:tcPr>
            <w:tcW w:w="696"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2</w:t>
            </w:r>
          </w:p>
        </w:tc>
        <w:tc>
          <w:tcPr>
            <w:tcW w:w="2270"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hAnsi="Times New Roman" w:cs="Times New Roman"/>
                <w:color w:val="000000" w:themeColor="text1"/>
                <w:spacing w:val="0"/>
              </w:rPr>
              <w:t>手提式</w:t>
            </w:r>
            <w:r>
              <w:rPr>
                <w:rFonts w:hint="eastAsia" w:ascii="Times New Roman" w:hAnsi="Times New Roman" w:cs="Times New Roman"/>
                <w:color w:val="000000" w:themeColor="text1"/>
                <w:spacing w:val="0"/>
                <w:lang w:val="en-US" w:eastAsia="zh-CN"/>
              </w:rPr>
              <w:t>干粉</w:t>
            </w:r>
            <w:r>
              <w:rPr>
                <w:rFonts w:hint="eastAsia" w:ascii="Times New Roman" w:hAnsi="Times New Roman" w:cs="Times New Roman"/>
                <w:color w:val="000000" w:themeColor="text1"/>
                <w:spacing w:val="0"/>
              </w:rPr>
              <w:t>灭火器</w:t>
            </w:r>
          </w:p>
        </w:tc>
        <w:tc>
          <w:tcPr>
            <w:tcW w:w="1488"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w:t>
            </w:r>
          </w:p>
        </w:tc>
        <w:tc>
          <w:tcPr>
            <w:tcW w:w="1854"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具</w:t>
            </w:r>
          </w:p>
        </w:tc>
        <w:tc>
          <w:tcPr>
            <w:tcW w:w="678" w:type="dxa"/>
            <w:tcBorders>
              <w:tl2br w:val="nil"/>
              <w:tr2bl w:val="nil"/>
            </w:tcBorders>
          </w:tcPr>
          <w:p>
            <w:pPr>
              <w:pStyle w:val="33"/>
              <w:spacing w:line="360" w:lineRule="exact"/>
              <w:rPr>
                <w:rFonts w:hint="default" w:ascii="Times New Roman" w:eastAsia="宋体"/>
                <w:color w:val="000000" w:themeColor="text1"/>
                <w:spacing w:val="0"/>
                <w:sz w:val="21"/>
                <w:lang w:val="en-US" w:eastAsia="zh-CN"/>
              </w:rPr>
            </w:pPr>
            <w:r>
              <w:rPr>
                <w:rFonts w:hint="eastAsia" w:ascii="Times New Roman"/>
                <w:color w:val="000000" w:themeColor="text1"/>
                <w:spacing w:val="0"/>
                <w:sz w:val="21"/>
                <w:lang w:val="en-US" w:eastAsia="zh-CN"/>
              </w:rPr>
              <w:t>20</w:t>
            </w:r>
          </w:p>
        </w:tc>
        <w:tc>
          <w:tcPr>
            <w:tcW w:w="1263" w:type="dxa"/>
            <w:tcBorders>
              <w:tl2br w:val="nil"/>
              <w:tr2bl w:val="nil"/>
            </w:tcBorders>
            <w:vAlign w:val="center"/>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467" w:hRule="atLeast"/>
        </w:trPr>
        <w:tc>
          <w:tcPr>
            <w:tcW w:w="696"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3</w:t>
            </w:r>
          </w:p>
        </w:tc>
        <w:tc>
          <w:tcPr>
            <w:tcW w:w="2270"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消防沙</w:t>
            </w:r>
          </w:p>
        </w:tc>
        <w:tc>
          <w:tcPr>
            <w:tcW w:w="1488" w:type="dxa"/>
            <w:tcBorders>
              <w:tl2br w:val="nil"/>
              <w:tr2bl w:val="nil"/>
            </w:tcBorders>
            <w:vAlign w:val="top"/>
          </w:tcPr>
          <w:p>
            <w:pPr>
              <w:pStyle w:val="33"/>
              <w:spacing w:line="360" w:lineRule="exact"/>
              <w:rPr>
                <w:rFonts w:hint="eastAsia" w:ascii="Times New Roman" w:eastAsia="宋体"/>
                <w:color w:val="000000" w:themeColor="text1"/>
                <w:spacing w:val="0"/>
                <w:sz w:val="21"/>
                <w:lang w:eastAsia="zh-CN"/>
              </w:rPr>
            </w:pPr>
            <w:r>
              <w:rPr>
                <w:rFonts w:ascii="Times New Roman" w:hAnsi="Times New Roman" w:cs="Times New Roman"/>
                <w:color w:val="000000" w:themeColor="text1"/>
                <w:spacing w:val="0"/>
              </w:rPr>
              <w:t>5</w:t>
            </w:r>
            <w:r>
              <w:rPr>
                <w:rFonts w:hint="eastAsia" w:ascii="Times New Roman" w:hAnsi="Times New Roman" w:cs="Times New Roman"/>
                <w:color w:val="000000" w:themeColor="text1"/>
                <w:spacing w:val="0"/>
              </w:rPr>
              <w:t>m</w:t>
            </w:r>
            <w:r>
              <w:rPr>
                <w:rFonts w:hint="eastAsia" w:ascii="Times New Roman" w:hAnsi="Times New Roman" w:cs="Times New Roman"/>
                <w:color w:val="000000" w:themeColor="text1"/>
                <w:spacing w:val="0"/>
                <w:vertAlign w:val="superscript"/>
              </w:rPr>
              <w:t>3</w:t>
            </w:r>
          </w:p>
        </w:tc>
        <w:tc>
          <w:tcPr>
            <w:tcW w:w="1854" w:type="dxa"/>
            <w:tcBorders>
              <w:tl2br w:val="nil"/>
              <w:tr2bl w:val="nil"/>
            </w:tcBorders>
            <w:vAlign w:val="top"/>
          </w:tcPr>
          <w:p>
            <w:pPr>
              <w:pStyle w:val="33"/>
              <w:spacing w:line="360" w:lineRule="exact"/>
              <w:rPr>
                <w:rFonts w:ascii="Times New Roman"/>
                <w:color w:val="000000" w:themeColor="text1"/>
                <w:spacing w:val="0"/>
                <w:sz w:val="21"/>
              </w:rPr>
            </w:pPr>
            <w:r>
              <w:rPr>
                <w:rFonts w:hint="eastAsia" w:ascii="Times New Roman" w:hAnsi="Times New Roman" w:cs="Times New Roman"/>
                <w:color w:val="000000" w:themeColor="text1"/>
                <w:spacing w:val="0"/>
              </w:rPr>
              <w:t>/</w:t>
            </w:r>
          </w:p>
        </w:tc>
        <w:tc>
          <w:tcPr>
            <w:tcW w:w="678" w:type="dxa"/>
            <w:tcBorders>
              <w:tl2br w:val="nil"/>
              <w:tr2bl w:val="nil"/>
            </w:tcBorders>
            <w:vAlign w:val="top"/>
          </w:tcPr>
          <w:p>
            <w:pPr>
              <w:pStyle w:val="33"/>
              <w:spacing w:line="360" w:lineRule="exact"/>
              <w:rPr>
                <w:rFonts w:ascii="Times New Roman"/>
                <w:color w:val="000000" w:themeColor="text1"/>
                <w:spacing w:val="0"/>
                <w:sz w:val="21"/>
              </w:rPr>
            </w:pPr>
            <w:r>
              <w:rPr>
                <w:rFonts w:hint="eastAsia" w:ascii="Times New Roman" w:hAnsi="Times New Roman" w:cs="Times New Roman"/>
                <w:color w:val="000000" w:themeColor="text1"/>
                <w:spacing w:val="0"/>
              </w:rPr>
              <w:t>/</w:t>
            </w:r>
          </w:p>
        </w:tc>
        <w:tc>
          <w:tcPr>
            <w:tcW w:w="1263" w:type="dxa"/>
            <w:tcBorders>
              <w:tl2br w:val="nil"/>
              <w:tr2bl w:val="nil"/>
            </w:tcBorders>
            <w:vAlign w:val="center"/>
          </w:tcPr>
          <w:p>
            <w:pPr>
              <w:pStyle w:val="33"/>
              <w:spacing w:line="360" w:lineRule="exact"/>
              <w:rPr>
                <w:rFonts w:ascii="Times New Roman"/>
                <w:color w:val="000000" w:themeColor="text1"/>
                <w:spacing w:val="0"/>
                <w:sz w:val="21"/>
              </w:rPr>
            </w:pPr>
            <w:r>
              <w:rPr>
                <w:rFonts w:hint="eastAsia" w:ascii="Times New Roman" w:hAnsi="Times New Roman" w:cs="Times New Roman"/>
                <w:color w:val="000000" w:themeColor="text1"/>
                <w:spacing w:val="0"/>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467" w:hRule="atLeast"/>
        </w:trPr>
        <w:tc>
          <w:tcPr>
            <w:tcW w:w="696"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4</w:t>
            </w:r>
          </w:p>
        </w:tc>
        <w:tc>
          <w:tcPr>
            <w:tcW w:w="2270"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灭火毯</w:t>
            </w:r>
          </w:p>
        </w:tc>
        <w:tc>
          <w:tcPr>
            <w:tcW w:w="1488" w:type="dxa"/>
            <w:tcBorders>
              <w:tl2br w:val="nil"/>
              <w:tr2bl w:val="nil"/>
            </w:tcBorders>
            <w:vAlign w:val="top"/>
          </w:tcPr>
          <w:p>
            <w:pPr>
              <w:pStyle w:val="33"/>
              <w:spacing w:line="360" w:lineRule="exact"/>
              <w:rPr>
                <w:rFonts w:ascii="Times New Roman"/>
                <w:color w:val="000000" w:themeColor="text1"/>
                <w:spacing w:val="0"/>
                <w:sz w:val="21"/>
              </w:rPr>
            </w:pPr>
            <w:r>
              <w:rPr>
                <w:rFonts w:hint="eastAsia" w:ascii="Times New Roman" w:hAnsi="Times New Roman" w:cs="Times New Roman"/>
                <w:color w:val="000000" w:themeColor="text1"/>
                <w:spacing w:val="0"/>
              </w:rPr>
              <w:t>/</w:t>
            </w:r>
          </w:p>
        </w:tc>
        <w:tc>
          <w:tcPr>
            <w:tcW w:w="1854" w:type="dxa"/>
            <w:tcBorders>
              <w:tl2br w:val="nil"/>
              <w:tr2bl w:val="nil"/>
            </w:tcBorders>
            <w:vAlign w:val="top"/>
          </w:tcPr>
          <w:p>
            <w:pPr>
              <w:pStyle w:val="33"/>
              <w:spacing w:line="360" w:lineRule="exact"/>
              <w:rPr>
                <w:rFonts w:ascii="Times New Roman"/>
                <w:color w:val="000000" w:themeColor="text1"/>
                <w:spacing w:val="0"/>
                <w:sz w:val="21"/>
              </w:rPr>
            </w:pPr>
            <w:r>
              <w:rPr>
                <w:rFonts w:hint="eastAsia" w:ascii="Times New Roman" w:hAnsi="Times New Roman" w:cs="Times New Roman"/>
                <w:color w:val="000000" w:themeColor="text1"/>
                <w:spacing w:val="0"/>
              </w:rPr>
              <w:t>块</w:t>
            </w:r>
          </w:p>
        </w:tc>
        <w:tc>
          <w:tcPr>
            <w:tcW w:w="678" w:type="dxa"/>
            <w:tcBorders>
              <w:tl2br w:val="nil"/>
              <w:tr2bl w:val="nil"/>
            </w:tcBorders>
            <w:vAlign w:val="top"/>
          </w:tcPr>
          <w:p>
            <w:pPr>
              <w:pStyle w:val="33"/>
              <w:spacing w:line="360" w:lineRule="exact"/>
              <w:rPr>
                <w:rFonts w:hint="eastAsia" w:ascii="Times New Roman" w:eastAsia="宋体"/>
                <w:color w:val="000000" w:themeColor="text1"/>
                <w:spacing w:val="0"/>
                <w:sz w:val="21"/>
                <w:lang w:val="en-US" w:eastAsia="zh-CN"/>
              </w:rPr>
            </w:pPr>
            <w:r>
              <w:rPr>
                <w:rFonts w:ascii="Times New Roman" w:hAnsi="Times New Roman" w:cs="Times New Roman"/>
                <w:color w:val="000000" w:themeColor="text1"/>
                <w:spacing w:val="0"/>
              </w:rPr>
              <w:t>5</w:t>
            </w:r>
          </w:p>
        </w:tc>
        <w:tc>
          <w:tcPr>
            <w:tcW w:w="1263" w:type="dxa"/>
            <w:tcBorders>
              <w:tl2br w:val="nil"/>
              <w:tr2bl w:val="nil"/>
            </w:tcBorders>
            <w:vAlign w:val="center"/>
          </w:tcPr>
          <w:p>
            <w:pPr>
              <w:pStyle w:val="33"/>
              <w:spacing w:line="360" w:lineRule="exact"/>
              <w:rPr>
                <w:rFonts w:ascii="Times New Roman"/>
                <w:color w:val="000000" w:themeColor="text1"/>
                <w:spacing w:val="0"/>
                <w:sz w:val="21"/>
              </w:rPr>
            </w:pPr>
            <w:r>
              <w:rPr>
                <w:rFonts w:hint="eastAsia" w:ascii="Times New Roman" w:hAnsi="Times New Roman" w:cs="Times New Roman"/>
                <w:color w:val="000000" w:themeColor="text1"/>
                <w:spacing w:val="0"/>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467" w:hRule="atLeast"/>
        </w:trPr>
        <w:tc>
          <w:tcPr>
            <w:tcW w:w="696"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5</w:t>
            </w:r>
          </w:p>
        </w:tc>
        <w:tc>
          <w:tcPr>
            <w:tcW w:w="2270" w:type="dxa"/>
            <w:tcBorders>
              <w:tl2br w:val="nil"/>
              <w:tr2bl w:val="nil"/>
            </w:tcBorders>
          </w:tcPr>
          <w:p>
            <w:pPr>
              <w:pStyle w:val="33"/>
              <w:spacing w:line="360" w:lineRule="exact"/>
              <w:rPr>
                <w:rFonts w:ascii="Times New Roman"/>
                <w:color w:val="000000" w:themeColor="text1"/>
                <w:spacing w:val="0"/>
                <w:sz w:val="21"/>
              </w:rPr>
            </w:pPr>
            <w:r>
              <w:rPr>
                <w:rFonts w:hint="eastAsia" w:ascii="Times New Roman"/>
                <w:color w:val="000000" w:themeColor="text1"/>
                <w:spacing w:val="0"/>
                <w:sz w:val="21"/>
              </w:rPr>
              <w:t>吸油毡</w:t>
            </w:r>
          </w:p>
        </w:tc>
        <w:tc>
          <w:tcPr>
            <w:tcW w:w="1488" w:type="dxa"/>
            <w:tcBorders>
              <w:tl2br w:val="nil"/>
              <w:tr2bl w:val="nil"/>
            </w:tcBorders>
            <w:vAlign w:val="top"/>
          </w:tcPr>
          <w:p>
            <w:pPr>
              <w:pStyle w:val="33"/>
              <w:spacing w:line="360" w:lineRule="exact"/>
              <w:rPr>
                <w:rFonts w:ascii="Times New Roman"/>
                <w:color w:val="000000" w:themeColor="text1"/>
                <w:spacing w:val="0"/>
                <w:sz w:val="21"/>
              </w:rPr>
            </w:pPr>
            <w:r>
              <w:rPr>
                <w:rFonts w:hint="eastAsia" w:ascii="Times New Roman" w:hAnsi="Times New Roman" w:cs="Times New Roman"/>
                <w:color w:val="000000" w:themeColor="text1"/>
                <w:spacing w:val="0"/>
              </w:rPr>
              <w:t>/</w:t>
            </w:r>
          </w:p>
        </w:tc>
        <w:tc>
          <w:tcPr>
            <w:tcW w:w="1854" w:type="dxa"/>
            <w:tcBorders>
              <w:tl2br w:val="nil"/>
              <w:tr2bl w:val="nil"/>
            </w:tcBorders>
            <w:vAlign w:val="top"/>
          </w:tcPr>
          <w:p>
            <w:pPr>
              <w:pStyle w:val="33"/>
              <w:spacing w:line="360" w:lineRule="exact"/>
              <w:rPr>
                <w:rFonts w:ascii="Times New Roman"/>
                <w:color w:val="000000" w:themeColor="text1"/>
                <w:spacing w:val="0"/>
                <w:sz w:val="21"/>
              </w:rPr>
            </w:pPr>
            <w:r>
              <w:rPr>
                <w:rFonts w:hint="eastAsia" w:ascii="Times New Roman" w:hAnsi="Times New Roman" w:cs="Times New Roman"/>
                <w:color w:val="000000" w:themeColor="text1"/>
                <w:spacing w:val="0"/>
              </w:rPr>
              <w:t>块</w:t>
            </w:r>
          </w:p>
        </w:tc>
        <w:tc>
          <w:tcPr>
            <w:tcW w:w="678" w:type="dxa"/>
            <w:tcBorders>
              <w:tl2br w:val="nil"/>
              <w:tr2bl w:val="nil"/>
            </w:tcBorders>
            <w:vAlign w:val="top"/>
          </w:tcPr>
          <w:p>
            <w:pPr>
              <w:pStyle w:val="33"/>
              <w:spacing w:line="360" w:lineRule="exact"/>
              <w:rPr>
                <w:rFonts w:hint="eastAsia" w:ascii="Times New Roman" w:eastAsia="宋体"/>
                <w:color w:val="000000" w:themeColor="text1"/>
                <w:spacing w:val="0"/>
                <w:sz w:val="21"/>
                <w:lang w:eastAsia="zh-CN"/>
              </w:rPr>
            </w:pPr>
            <w:r>
              <w:rPr>
                <w:rFonts w:hint="eastAsia" w:ascii="Times New Roman" w:hAnsi="Times New Roman" w:cs="Times New Roman"/>
                <w:color w:val="000000" w:themeColor="text1"/>
                <w:spacing w:val="0"/>
              </w:rPr>
              <w:t>5</w:t>
            </w:r>
          </w:p>
        </w:tc>
        <w:tc>
          <w:tcPr>
            <w:tcW w:w="1263" w:type="dxa"/>
            <w:tcBorders>
              <w:tl2br w:val="nil"/>
              <w:tr2bl w:val="nil"/>
            </w:tcBorders>
            <w:vAlign w:val="center"/>
          </w:tcPr>
          <w:p>
            <w:pPr>
              <w:pStyle w:val="33"/>
              <w:spacing w:line="360" w:lineRule="exact"/>
              <w:rPr>
                <w:rFonts w:ascii="Times New Roman"/>
                <w:color w:val="000000" w:themeColor="text1"/>
                <w:spacing w:val="0"/>
                <w:sz w:val="21"/>
              </w:rPr>
            </w:pPr>
            <w:r>
              <w:rPr>
                <w:rFonts w:hint="eastAsia" w:ascii="Times New Roman" w:hAnsi="Times New Roman" w:cs="Times New Roman"/>
                <w:color w:val="000000" w:themeColor="text1"/>
                <w:spacing w:val="0"/>
              </w:rPr>
              <w:t>有效</w:t>
            </w:r>
          </w:p>
        </w:tc>
      </w:tr>
    </w:tbl>
    <w:p>
      <w:pPr>
        <w:pStyle w:val="13"/>
        <w:spacing w:line="360" w:lineRule="auto"/>
        <w:jc w:val="both"/>
        <w:rPr>
          <w:rFonts w:ascii="Times New Roman" w:hAnsi="Times New Roman"/>
          <w:b/>
          <w:bCs/>
        </w:rPr>
      </w:pPr>
    </w:p>
    <w:p>
      <w:pPr>
        <w:pStyle w:val="13"/>
        <w:spacing w:line="360" w:lineRule="auto"/>
        <w:jc w:val="both"/>
        <w:rPr>
          <w:rFonts w:ascii="Times New Roman" w:hAnsi="Times New Roman"/>
          <w:b/>
          <w:bCs/>
        </w:rPr>
      </w:pPr>
      <w:r>
        <w:rPr>
          <w:rFonts w:ascii="Times New Roman" w:hAnsi="Times New Roman"/>
          <w:b/>
          <w:bCs/>
        </w:rPr>
        <w:t>2、应急物资装备</w:t>
      </w:r>
    </w:p>
    <w:p>
      <w:pPr>
        <w:pStyle w:val="13"/>
        <w:spacing w:beforeAutospacing="0" w:afterAutospacing="0"/>
        <w:jc w:val="center"/>
        <w:rPr>
          <w:rFonts w:ascii="Times New Roman" w:hAnsi="Times New Roman"/>
          <w:b/>
          <w:bCs/>
          <w:sz w:val="21"/>
          <w:szCs w:val="21"/>
        </w:rPr>
      </w:pPr>
      <w:r>
        <w:rPr>
          <w:rFonts w:ascii="Times New Roman" w:hAnsi="Times New Roman"/>
          <w:b/>
          <w:bCs/>
          <w:sz w:val="21"/>
          <w:szCs w:val="21"/>
        </w:rPr>
        <w:t>表3-7 应急物资</w:t>
      </w:r>
    </w:p>
    <w:tbl>
      <w:tblPr>
        <w:tblStyle w:val="14"/>
        <w:tblW w:w="7908" w:type="dxa"/>
        <w:tblInd w:w="140"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0" w:type="dxa"/>
          <w:bottom w:w="0" w:type="dxa"/>
          <w:right w:w="0" w:type="dxa"/>
        </w:tblCellMar>
      </w:tblPr>
      <w:tblGrid>
        <w:gridCol w:w="552"/>
        <w:gridCol w:w="1044"/>
        <w:gridCol w:w="1651"/>
        <w:gridCol w:w="1166"/>
        <w:gridCol w:w="581"/>
        <w:gridCol w:w="1432"/>
        <w:gridCol w:w="1482"/>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46" w:hRule="atLeast"/>
        </w:trPr>
        <w:tc>
          <w:tcPr>
            <w:tcW w:w="552" w:type="dxa"/>
            <w:tcBorders>
              <w:tl2br w:val="nil"/>
              <w:tr2bl w:val="nil"/>
            </w:tcBorders>
            <w:vAlign w:val="center"/>
          </w:tcPr>
          <w:p>
            <w:pPr>
              <w:spacing w:line="240" w:lineRule="auto"/>
              <w:ind w:firstLineChars="0"/>
              <w:jc w:val="center"/>
              <w:rPr>
                <w:rStyle w:val="39"/>
                <w:rFonts w:hint="eastAsia" w:ascii="宋体" w:hAnsi="宋体" w:eastAsia="宋体" w:cs="宋体"/>
                <w:b/>
                <w:bCs/>
                <w:color w:val="000000" w:themeColor="text1"/>
                <w:kern w:val="0"/>
                <w:sz w:val="21"/>
                <w:szCs w:val="21"/>
              </w:rPr>
            </w:pPr>
            <w:r>
              <w:rPr>
                <w:rStyle w:val="39"/>
                <w:rFonts w:hint="eastAsia" w:ascii="宋体" w:hAnsi="宋体" w:eastAsia="宋体" w:cs="宋体"/>
                <w:b/>
                <w:bCs/>
                <w:color w:val="000000" w:themeColor="text1"/>
                <w:kern w:val="0"/>
                <w:sz w:val="21"/>
                <w:szCs w:val="21"/>
              </w:rPr>
              <w:t>序号</w:t>
            </w:r>
          </w:p>
        </w:tc>
        <w:tc>
          <w:tcPr>
            <w:tcW w:w="1044" w:type="dxa"/>
            <w:tcBorders>
              <w:tl2br w:val="nil"/>
              <w:tr2bl w:val="nil"/>
            </w:tcBorders>
            <w:vAlign w:val="center"/>
          </w:tcPr>
          <w:p>
            <w:pPr>
              <w:spacing w:line="240" w:lineRule="auto"/>
              <w:ind w:firstLineChars="0"/>
              <w:jc w:val="center"/>
              <w:rPr>
                <w:rStyle w:val="39"/>
                <w:rFonts w:hint="eastAsia" w:ascii="宋体" w:hAnsi="宋体" w:eastAsia="宋体" w:cs="宋体"/>
                <w:b/>
                <w:bCs/>
                <w:color w:val="000000" w:themeColor="text1"/>
                <w:kern w:val="0"/>
                <w:sz w:val="21"/>
                <w:szCs w:val="21"/>
              </w:rPr>
            </w:pPr>
            <w:r>
              <w:rPr>
                <w:rStyle w:val="39"/>
                <w:rFonts w:hint="eastAsia" w:ascii="宋体" w:hAnsi="宋体" w:eastAsia="宋体" w:cs="宋体"/>
                <w:b/>
                <w:bCs/>
                <w:color w:val="000000" w:themeColor="text1"/>
                <w:kern w:val="0"/>
                <w:sz w:val="21"/>
                <w:szCs w:val="21"/>
              </w:rPr>
              <w:t>装备名称</w:t>
            </w:r>
          </w:p>
        </w:tc>
        <w:tc>
          <w:tcPr>
            <w:tcW w:w="1651" w:type="dxa"/>
            <w:tcBorders>
              <w:tl2br w:val="nil"/>
              <w:tr2bl w:val="nil"/>
            </w:tcBorders>
            <w:vAlign w:val="center"/>
          </w:tcPr>
          <w:p>
            <w:pPr>
              <w:spacing w:line="240" w:lineRule="auto"/>
              <w:ind w:firstLineChars="0"/>
              <w:jc w:val="center"/>
              <w:rPr>
                <w:rStyle w:val="39"/>
                <w:rFonts w:hint="eastAsia" w:ascii="宋体" w:hAnsi="宋体" w:eastAsia="宋体" w:cs="宋体"/>
                <w:b/>
                <w:bCs/>
                <w:color w:val="000000" w:themeColor="text1"/>
                <w:kern w:val="0"/>
                <w:sz w:val="21"/>
                <w:szCs w:val="21"/>
              </w:rPr>
            </w:pPr>
            <w:r>
              <w:rPr>
                <w:rStyle w:val="39"/>
                <w:rFonts w:hint="eastAsia" w:ascii="宋体" w:hAnsi="宋体" w:eastAsia="宋体" w:cs="宋体"/>
                <w:b/>
                <w:bCs/>
                <w:color w:val="000000" w:themeColor="text1"/>
                <w:kern w:val="0"/>
                <w:sz w:val="21"/>
                <w:szCs w:val="21"/>
              </w:rPr>
              <w:t>技术要求或功能要求</w:t>
            </w:r>
          </w:p>
        </w:tc>
        <w:tc>
          <w:tcPr>
            <w:tcW w:w="1166" w:type="dxa"/>
            <w:tcBorders>
              <w:tl2br w:val="nil"/>
              <w:tr2bl w:val="nil"/>
            </w:tcBorders>
            <w:vAlign w:val="center"/>
          </w:tcPr>
          <w:p>
            <w:pPr>
              <w:spacing w:line="240" w:lineRule="auto"/>
              <w:ind w:firstLineChars="0"/>
              <w:jc w:val="center"/>
              <w:rPr>
                <w:rStyle w:val="39"/>
                <w:rFonts w:hint="eastAsia" w:ascii="宋体" w:hAnsi="宋体" w:eastAsia="宋体" w:cs="宋体"/>
                <w:b/>
                <w:bCs/>
                <w:color w:val="000000" w:themeColor="text1"/>
                <w:kern w:val="0"/>
                <w:sz w:val="21"/>
                <w:szCs w:val="21"/>
              </w:rPr>
            </w:pPr>
            <w:r>
              <w:rPr>
                <w:rStyle w:val="39"/>
                <w:rFonts w:hint="eastAsia" w:ascii="宋体" w:hAnsi="宋体" w:eastAsia="宋体" w:cs="宋体"/>
                <w:b/>
                <w:bCs/>
                <w:color w:val="000000" w:themeColor="text1"/>
                <w:kern w:val="0"/>
                <w:sz w:val="21"/>
                <w:szCs w:val="21"/>
              </w:rPr>
              <w:t>型号及额定参数</w:t>
            </w:r>
          </w:p>
        </w:tc>
        <w:tc>
          <w:tcPr>
            <w:tcW w:w="581" w:type="dxa"/>
            <w:tcBorders>
              <w:tl2br w:val="nil"/>
              <w:tr2bl w:val="nil"/>
            </w:tcBorders>
            <w:vAlign w:val="center"/>
          </w:tcPr>
          <w:p>
            <w:pPr>
              <w:spacing w:line="240" w:lineRule="auto"/>
              <w:ind w:firstLineChars="0"/>
              <w:jc w:val="center"/>
              <w:rPr>
                <w:rStyle w:val="39"/>
                <w:rFonts w:hint="eastAsia" w:ascii="宋体" w:hAnsi="宋体" w:eastAsia="宋体" w:cs="宋体"/>
                <w:b/>
                <w:bCs/>
                <w:color w:val="000000" w:themeColor="text1"/>
                <w:kern w:val="0"/>
                <w:sz w:val="21"/>
                <w:szCs w:val="21"/>
              </w:rPr>
            </w:pPr>
            <w:r>
              <w:rPr>
                <w:rStyle w:val="39"/>
                <w:rFonts w:hint="eastAsia" w:ascii="宋体" w:hAnsi="宋体" w:eastAsia="宋体" w:cs="宋体"/>
                <w:b/>
                <w:bCs/>
                <w:color w:val="000000" w:themeColor="text1"/>
                <w:kern w:val="0"/>
                <w:sz w:val="21"/>
                <w:szCs w:val="21"/>
              </w:rPr>
              <w:t>数量</w:t>
            </w:r>
          </w:p>
        </w:tc>
        <w:tc>
          <w:tcPr>
            <w:tcW w:w="1432" w:type="dxa"/>
            <w:tcBorders>
              <w:tl2br w:val="nil"/>
              <w:tr2bl w:val="nil"/>
            </w:tcBorders>
            <w:vAlign w:val="center"/>
          </w:tcPr>
          <w:p>
            <w:pPr>
              <w:spacing w:line="240" w:lineRule="auto"/>
              <w:ind w:firstLineChars="0"/>
              <w:jc w:val="center"/>
              <w:rPr>
                <w:rStyle w:val="39"/>
                <w:rFonts w:hint="eastAsia" w:ascii="宋体" w:hAnsi="宋体" w:eastAsia="宋体" w:cs="宋体"/>
                <w:b/>
                <w:bCs/>
                <w:color w:val="000000" w:themeColor="text1"/>
                <w:kern w:val="0"/>
                <w:sz w:val="21"/>
                <w:szCs w:val="21"/>
              </w:rPr>
            </w:pPr>
            <w:r>
              <w:rPr>
                <w:rStyle w:val="39"/>
                <w:rFonts w:hint="eastAsia" w:ascii="宋体" w:hAnsi="宋体" w:eastAsia="宋体" w:cs="宋体"/>
                <w:b/>
                <w:bCs/>
                <w:color w:val="000000" w:themeColor="text1"/>
                <w:kern w:val="0"/>
                <w:sz w:val="21"/>
                <w:szCs w:val="21"/>
              </w:rPr>
              <w:t>存放位置</w:t>
            </w:r>
          </w:p>
        </w:tc>
        <w:tc>
          <w:tcPr>
            <w:tcW w:w="1482" w:type="dxa"/>
            <w:tcBorders>
              <w:tl2br w:val="nil"/>
              <w:tr2bl w:val="nil"/>
            </w:tcBorders>
            <w:vAlign w:val="center"/>
          </w:tcPr>
          <w:p>
            <w:pPr>
              <w:spacing w:line="240" w:lineRule="auto"/>
              <w:ind w:firstLineChars="0"/>
              <w:jc w:val="center"/>
              <w:rPr>
                <w:rStyle w:val="39"/>
                <w:rFonts w:hint="eastAsia" w:ascii="宋体" w:hAnsi="宋体" w:eastAsia="宋体" w:cs="宋体"/>
                <w:b/>
                <w:bCs/>
                <w:color w:val="000000" w:themeColor="text1"/>
                <w:kern w:val="0"/>
                <w:sz w:val="21"/>
                <w:szCs w:val="21"/>
              </w:rPr>
            </w:pPr>
            <w:r>
              <w:rPr>
                <w:rStyle w:val="39"/>
                <w:rFonts w:hint="eastAsia" w:ascii="宋体" w:hAnsi="宋体" w:eastAsia="宋体" w:cs="宋体"/>
                <w:b/>
                <w:bCs/>
                <w:color w:val="000000" w:themeColor="text1"/>
                <w:kern w:val="0"/>
                <w:sz w:val="21"/>
                <w:szCs w:val="21"/>
              </w:rPr>
              <w:t>管理人及联系电话</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41" w:hRule="atLeast"/>
        </w:trPr>
        <w:tc>
          <w:tcPr>
            <w:tcW w:w="55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1</w:t>
            </w:r>
          </w:p>
        </w:tc>
        <w:tc>
          <w:tcPr>
            <w:tcW w:w="1044"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空气呼吸器</w:t>
            </w:r>
          </w:p>
        </w:tc>
        <w:tc>
          <w:tcPr>
            <w:tcW w:w="165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符合GB/T 18664要求</w:t>
            </w:r>
          </w:p>
        </w:tc>
        <w:tc>
          <w:tcPr>
            <w:tcW w:w="1166" w:type="dxa"/>
            <w:tcBorders>
              <w:tl2br w:val="nil"/>
              <w:tr2bl w:val="nil"/>
            </w:tcBorders>
            <w:shd w:val="clear" w:color="auto" w:fill="FFFFFF"/>
            <w:vAlign w:val="center"/>
          </w:tcPr>
          <w:p>
            <w:pPr>
              <w:spacing w:line="240" w:lineRule="auto"/>
              <w:jc w:val="center"/>
              <w:rPr>
                <w:rStyle w:val="39"/>
                <w:rFonts w:hint="eastAsia" w:ascii="宋体" w:hAnsi="宋体" w:eastAsia="宋体" w:cs="宋体"/>
                <w:color w:val="000000" w:themeColor="text1"/>
                <w:kern w:val="0"/>
                <w:sz w:val="21"/>
                <w:szCs w:val="21"/>
              </w:rPr>
            </w:pPr>
            <w:r>
              <w:rPr>
                <w:rStyle w:val="39"/>
                <w:rFonts w:hint="default" w:ascii="Times New Roman" w:hAnsi="Times New Roman" w:eastAsia="宋体" w:cs="Times New Roman"/>
                <w:color w:val="000000" w:themeColor="text1"/>
                <w:kern w:val="0"/>
                <w:sz w:val="21"/>
                <w:szCs w:val="21"/>
              </w:rPr>
              <w:t>GB21976.7-2012</w:t>
            </w:r>
          </w:p>
        </w:tc>
        <w:tc>
          <w:tcPr>
            <w:tcW w:w="581" w:type="dxa"/>
            <w:tcBorders>
              <w:tl2br w:val="nil"/>
              <w:tr2bl w:val="nil"/>
            </w:tcBorders>
            <w:shd w:val="clear" w:color="auto" w:fill="FFFFFF"/>
            <w:vAlign w:val="center"/>
          </w:tcPr>
          <w:p>
            <w:pPr>
              <w:spacing w:line="240" w:lineRule="auto"/>
              <w:jc w:val="center"/>
              <w:rPr>
                <w:rStyle w:val="39"/>
                <w:rFonts w:hint="eastAsia" w:ascii="宋体" w:hAnsi="宋体" w:eastAsia="宋体" w:cs="宋体"/>
                <w:color w:val="000000" w:themeColor="text1"/>
                <w:kern w:val="0"/>
                <w:sz w:val="21"/>
                <w:szCs w:val="21"/>
              </w:rPr>
            </w:pPr>
            <w:r>
              <w:rPr>
                <w:rStyle w:val="39"/>
                <w:rFonts w:hint="default" w:ascii="Times New Roman" w:hAnsi="Times New Roman" w:eastAsia="宋体" w:cs="Times New Roman"/>
                <w:color w:val="000000" w:themeColor="text1"/>
                <w:kern w:val="0"/>
                <w:sz w:val="24"/>
                <w:szCs w:val="24"/>
              </w:rPr>
              <w:t>2</w:t>
            </w:r>
          </w:p>
        </w:tc>
        <w:tc>
          <w:tcPr>
            <w:tcW w:w="1432" w:type="dxa"/>
            <w:tcBorders>
              <w:tl2br w:val="nil"/>
              <w:tr2bl w:val="nil"/>
            </w:tcBorders>
            <w:vAlign w:val="center"/>
          </w:tcPr>
          <w:p>
            <w:pPr>
              <w:spacing w:line="240" w:lineRule="auto"/>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微型消防站</w:t>
            </w:r>
          </w:p>
        </w:tc>
        <w:tc>
          <w:tcPr>
            <w:tcW w:w="148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陈龙</w:t>
            </w:r>
            <w:r>
              <w:rPr>
                <w:rStyle w:val="39"/>
                <w:rFonts w:hint="default" w:ascii="Times New Roman" w:hAnsi="Times New Roman" w:eastAsia="宋体" w:cs="Times New Roman"/>
                <w:color w:val="000000" w:themeColor="text1"/>
                <w:kern w:val="0"/>
                <w:sz w:val="21"/>
                <w:szCs w:val="21"/>
              </w:rPr>
              <w:t>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41" w:hRule="atLeast"/>
        </w:trPr>
        <w:tc>
          <w:tcPr>
            <w:tcW w:w="55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2</w:t>
            </w:r>
          </w:p>
        </w:tc>
        <w:tc>
          <w:tcPr>
            <w:tcW w:w="1044"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气瓶</w:t>
            </w:r>
          </w:p>
        </w:tc>
        <w:tc>
          <w:tcPr>
            <w:tcW w:w="165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与空气呼吸器配套供气</w:t>
            </w:r>
          </w:p>
        </w:tc>
        <w:tc>
          <w:tcPr>
            <w:tcW w:w="1166" w:type="dxa"/>
            <w:tcBorders>
              <w:tl2br w:val="nil"/>
              <w:tr2bl w:val="nil"/>
            </w:tcBorders>
            <w:shd w:val="clear" w:color="auto" w:fill="FFFFFF"/>
            <w:vAlign w:val="center"/>
          </w:tcPr>
          <w:p>
            <w:pPr>
              <w:spacing w:line="240" w:lineRule="auto"/>
              <w:jc w:val="center"/>
              <w:rPr>
                <w:rStyle w:val="39"/>
                <w:rFonts w:hint="eastAsia" w:ascii="宋体" w:hAnsi="宋体" w:eastAsia="宋体" w:cs="宋体"/>
                <w:color w:val="000000" w:themeColor="text1"/>
                <w:kern w:val="0"/>
                <w:sz w:val="21"/>
                <w:szCs w:val="21"/>
              </w:rPr>
            </w:pPr>
            <w:r>
              <w:rPr>
                <w:rStyle w:val="39"/>
                <w:rFonts w:hint="default" w:ascii="Times New Roman" w:hAnsi="Times New Roman" w:eastAsia="宋体" w:cs="Times New Roman"/>
                <w:color w:val="000000" w:themeColor="text1"/>
                <w:kern w:val="0"/>
                <w:sz w:val="21"/>
                <w:szCs w:val="21"/>
              </w:rPr>
              <w:t>GB21976.7-2012</w:t>
            </w:r>
          </w:p>
        </w:tc>
        <w:tc>
          <w:tcPr>
            <w:tcW w:w="581" w:type="dxa"/>
            <w:tcBorders>
              <w:tl2br w:val="nil"/>
              <w:tr2bl w:val="nil"/>
            </w:tcBorders>
            <w:shd w:val="clear" w:color="auto" w:fill="FFFFFF"/>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default" w:ascii="Times New Roman" w:hAnsi="Times New Roman" w:eastAsia="宋体" w:cs="Times New Roman"/>
                <w:color w:val="000000" w:themeColor="text1"/>
                <w:kern w:val="0"/>
                <w:sz w:val="24"/>
                <w:szCs w:val="24"/>
              </w:rPr>
              <w:t>2</w:t>
            </w:r>
          </w:p>
        </w:tc>
        <w:tc>
          <w:tcPr>
            <w:tcW w:w="143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微型消防站</w:t>
            </w:r>
          </w:p>
        </w:tc>
        <w:tc>
          <w:tcPr>
            <w:tcW w:w="148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陈龙</w:t>
            </w:r>
            <w:r>
              <w:rPr>
                <w:rStyle w:val="39"/>
                <w:rFonts w:hint="default" w:ascii="Times New Roman" w:hAnsi="Times New Roman" w:eastAsia="宋体" w:cs="Times New Roman"/>
                <w:color w:val="000000" w:themeColor="text1"/>
                <w:kern w:val="0"/>
                <w:sz w:val="21"/>
                <w:szCs w:val="21"/>
              </w:rPr>
              <w:t>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41" w:hRule="atLeast"/>
        </w:trPr>
        <w:tc>
          <w:tcPr>
            <w:tcW w:w="55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3</w:t>
            </w:r>
          </w:p>
        </w:tc>
        <w:tc>
          <w:tcPr>
            <w:tcW w:w="1044"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防化服</w:t>
            </w:r>
          </w:p>
        </w:tc>
        <w:tc>
          <w:tcPr>
            <w:tcW w:w="165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符合AQ/T 6107要求</w:t>
            </w:r>
          </w:p>
        </w:tc>
        <w:tc>
          <w:tcPr>
            <w:tcW w:w="1166" w:type="dxa"/>
            <w:tcBorders>
              <w:tl2br w:val="nil"/>
              <w:tr2bl w:val="nil"/>
            </w:tcBorders>
            <w:shd w:val="clear" w:color="auto" w:fill="FFFFFF"/>
            <w:vAlign w:val="center"/>
          </w:tcPr>
          <w:p>
            <w:pPr>
              <w:spacing w:line="240" w:lineRule="auto"/>
              <w:ind w:firstLine="420"/>
              <w:jc w:val="center"/>
              <w:rPr>
                <w:rStyle w:val="39"/>
                <w:rFonts w:hint="eastAsia" w:ascii="宋体" w:hAnsi="宋体" w:eastAsia="宋体" w:cs="宋体"/>
                <w:color w:val="000000" w:themeColor="text1"/>
                <w:kern w:val="0"/>
                <w:sz w:val="21"/>
                <w:szCs w:val="21"/>
              </w:rPr>
            </w:pPr>
          </w:p>
        </w:tc>
        <w:tc>
          <w:tcPr>
            <w:tcW w:w="581" w:type="dxa"/>
            <w:tcBorders>
              <w:tl2br w:val="nil"/>
              <w:tr2bl w:val="nil"/>
            </w:tcBorders>
            <w:shd w:val="clear" w:color="auto" w:fill="FFFFFF"/>
            <w:vAlign w:val="center"/>
          </w:tcPr>
          <w:p>
            <w:pPr>
              <w:spacing w:line="240" w:lineRule="auto"/>
              <w:ind w:firstLineChars="0"/>
              <w:jc w:val="center"/>
              <w:rPr>
                <w:rStyle w:val="39"/>
                <w:rFonts w:hint="eastAsia" w:ascii="宋体" w:hAnsi="宋体" w:eastAsia="宋体" w:cs="宋体"/>
                <w:color w:val="000000" w:themeColor="text1"/>
                <w:kern w:val="0"/>
                <w:sz w:val="21"/>
                <w:szCs w:val="21"/>
                <w:lang w:val="en-US" w:eastAsia="zh-CN"/>
              </w:rPr>
            </w:pPr>
            <w:r>
              <w:rPr>
                <w:rStyle w:val="39"/>
                <w:rFonts w:hint="default" w:ascii="Times New Roman" w:hAnsi="Times New Roman" w:cs="Times New Roman"/>
                <w:color w:val="000000" w:themeColor="text1"/>
                <w:kern w:val="0"/>
                <w:sz w:val="24"/>
                <w:szCs w:val="24"/>
                <w:lang w:val="en-US" w:eastAsia="zh-CN"/>
              </w:rPr>
              <w:t>1</w:t>
            </w:r>
          </w:p>
        </w:tc>
        <w:tc>
          <w:tcPr>
            <w:tcW w:w="143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微型消防站</w:t>
            </w:r>
          </w:p>
        </w:tc>
        <w:tc>
          <w:tcPr>
            <w:tcW w:w="148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陈龙</w:t>
            </w:r>
            <w:r>
              <w:rPr>
                <w:rStyle w:val="39"/>
                <w:rFonts w:hint="default" w:ascii="Times New Roman" w:hAnsi="Times New Roman" w:eastAsia="宋体" w:cs="Times New Roman"/>
                <w:color w:val="000000" w:themeColor="text1"/>
                <w:kern w:val="0"/>
                <w:sz w:val="21"/>
                <w:szCs w:val="21"/>
              </w:rPr>
              <w:t>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41" w:hRule="atLeast"/>
        </w:trPr>
        <w:tc>
          <w:tcPr>
            <w:tcW w:w="55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4</w:t>
            </w:r>
          </w:p>
        </w:tc>
        <w:tc>
          <w:tcPr>
            <w:tcW w:w="1044"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防毒面具</w:t>
            </w:r>
          </w:p>
        </w:tc>
        <w:tc>
          <w:tcPr>
            <w:tcW w:w="165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符合GB/T 18664要求</w:t>
            </w:r>
          </w:p>
        </w:tc>
        <w:tc>
          <w:tcPr>
            <w:tcW w:w="1166" w:type="dxa"/>
            <w:tcBorders>
              <w:tl2br w:val="nil"/>
              <w:tr2bl w:val="nil"/>
            </w:tcBorders>
            <w:shd w:val="clear" w:color="auto" w:fill="FFFFFF"/>
            <w:vAlign w:val="center"/>
          </w:tcPr>
          <w:p>
            <w:pPr>
              <w:spacing w:line="240" w:lineRule="auto"/>
              <w:ind w:firstLine="420"/>
              <w:jc w:val="center"/>
              <w:rPr>
                <w:rStyle w:val="39"/>
                <w:rFonts w:hint="eastAsia" w:ascii="宋体" w:hAnsi="宋体" w:eastAsia="宋体" w:cs="宋体"/>
                <w:color w:val="000000" w:themeColor="text1"/>
                <w:kern w:val="0"/>
                <w:sz w:val="21"/>
                <w:szCs w:val="21"/>
              </w:rPr>
            </w:pPr>
          </w:p>
        </w:tc>
        <w:tc>
          <w:tcPr>
            <w:tcW w:w="581" w:type="dxa"/>
            <w:tcBorders>
              <w:tl2br w:val="nil"/>
              <w:tr2bl w:val="nil"/>
            </w:tcBorders>
            <w:shd w:val="clear" w:color="auto" w:fill="FFFFFF"/>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default" w:ascii="Times New Roman" w:hAnsi="Times New Roman" w:eastAsia="宋体" w:cs="Times New Roman"/>
                <w:color w:val="000000" w:themeColor="text1"/>
                <w:kern w:val="0"/>
                <w:sz w:val="24"/>
                <w:szCs w:val="24"/>
              </w:rPr>
              <w:t>2</w:t>
            </w:r>
          </w:p>
        </w:tc>
        <w:tc>
          <w:tcPr>
            <w:tcW w:w="143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微型消防站</w:t>
            </w:r>
          </w:p>
        </w:tc>
        <w:tc>
          <w:tcPr>
            <w:tcW w:w="148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陈龙</w:t>
            </w:r>
            <w:r>
              <w:rPr>
                <w:rStyle w:val="39"/>
                <w:rFonts w:hint="default" w:ascii="Times New Roman" w:hAnsi="Times New Roman" w:eastAsia="宋体" w:cs="Times New Roman"/>
                <w:color w:val="000000" w:themeColor="text1"/>
                <w:kern w:val="0"/>
                <w:sz w:val="21"/>
                <w:szCs w:val="21"/>
              </w:rPr>
              <w:t>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41" w:hRule="atLeast"/>
        </w:trPr>
        <w:tc>
          <w:tcPr>
            <w:tcW w:w="55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5</w:t>
            </w:r>
          </w:p>
        </w:tc>
        <w:tc>
          <w:tcPr>
            <w:tcW w:w="1044"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消防服</w:t>
            </w:r>
          </w:p>
        </w:tc>
        <w:tc>
          <w:tcPr>
            <w:tcW w:w="165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消防灭火，耐火</w:t>
            </w:r>
          </w:p>
        </w:tc>
        <w:tc>
          <w:tcPr>
            <w:tcW w:w="1166" w:type="dxa"/>
            <w:tcBorders>
              <w:tl2br w:val="nil"/>
              <w:tr2bl w:val="nil"/>
            </w:tcBorders>
            <w:vAlign w:val="center"/>
          </w:tcPr>
          <w:p>
            <w:pPr>
              <w:spacing w:line="240" w:lineRule="auto"/>
              <w:ind w:firstLine="420"/>
              <w:jc w:val="center"/>
              <w:rPr>
                <w:rStyle w:val="39"/>
                <w:rFonts w:hint="eastAsia" w:ascii="宋体" w:hAnsi="宋体" w:eastAsia="宋体" w:cs="宋体"/>
                <w:color w:val="000000" w:themeColor="text1"/>
                <w:kern w:val="0"/>
                <w:sz w:val="21"/>
                <w:szCs w:val="21"/>
              </w:rPr>
            </w:pPr>
          </w:p>
        </w:tc>
        <w:tc>
          <w:tcPr>
            <w:tcW w:w="58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default" w:ascii="Times New Roman" w:hAnsi="Times New Roman" w:eastAsia="宋体" w:cs="Times New Roman"/>
                <w:color w:val="000000" w:themeColor="text1"/>
                <w:kern w:val="0"/>
                <w:sz w:val="24"/>
                <w:szCs w:val="24"/>
              </w:rPr>
              <w:t>2</w:t>
            </w:r>
          </w:p>
        </w:tc>
        <w:tc>
          <w:tcPr>
            <w:tcW w:w="143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微型消防站</w:t>
            </w:r>
          </w:p>
        </w:tc>
        <w:tc>
          <w:tcPr>
            <w:tcW w:w="148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陈龙</w:t>
            </w:r>
            <w:r>
              <w:rPr>
                <w:rStyle w:val="39"/>
                <w:rFonts w:hint="default" w:ascii="Times New Roman" w:hAnsi="Times New Roman" w:eastAsia="宋体" w:cs="Times New Roman"/>
                <w:color w:val="000000" w:themeColor="text1"/>
                <w:kern w:val="0"/>
                <w:sz w:val="21"/>
                <w:szCs w:val="21"/>
              </w:rPr>
              <w:t>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41" w:hRule="atLeast"/>
        </w:trPr>
        <w:tc>
          <w:tcPr>
            <w:tcW w:w="55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6</w:t>
            </w:r>
          </w:p>
        </w:tc>
        <w:tc>
          <w:tcPr>
            <w:tcW w:w="1044"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消防靴</w:t>
            </w:r>
          </w:p>
        </w:tc>
        <w:tc>
          <w:tcPr>
            <w:tcW w:w="165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消防灭火，耐火</w:t>
            </w:r>
          </w:p>
        </w:tc>
        <w:tc>
          <w:tcPr>
            <w:tcW w:w="1166" w:type="dxa"/>
            <w:tcBorders>
              <w:tl2br w:val="nil"/>
              <w:tr2bl w:val="nil"/>
            </w:tcBorders>
            <w:vAlign w:val="center"/>
          </w:tcPr>
          <w:p>
            <w:pPr>
              <w:spacing w:line="240" w:lineRule="auto"/>
              <w:ind w:firstLine="420"/>
              <w:jc w:val="center"/>
              <w:rPr>
                <w:rStyle w:val="39"/>
                <w:rFonts w:hint="eastAsia" w:ascii="宋体" w:hAnsi="宋体" w:eastAsia="宋体" w:cs="宋体"/>
                <w:color w:val="000000" w:themeColor="text1"/>
                <w:kern w:val="0"/>
                <w:sz w:val="21"/>
                <w:szCs w:val="21"/>
              </w:rPr>
            </w:pPr>
          </w:p>
        </w:tc>
        <w:tc>
          <w:tcPr>
            <w:tcW w:w="58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default" w:ascii="Times New Roman" w:hAnsi="Times New Roman" w:eastAsia="宋体" w:cs="Times New Roman"/>
                <w:color w:val="000000" w:themeColor="text1"/>
                <w:kern w:val="0"/>
                <w:sz w:val="24"/>
                <w:szCs w:val="24"/>
              </w:rPr>
              <w:t>2</w:t>
            </w:r>
          </w:p>
        </w:tc>
        <w:tc>
          <w:tcPr>
            <w:tcW w:w="143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微型消防站</w:t>
            </w:r>
          </w:p>
        </w:tc>
        <w:tc>
          <w:tcPr>
            <w:tcW w:w="148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陈龙</w:t>
            </w:r>
            <w:r>
              <w:rPr>
                <w:rStyle w:val="39"/>
                <w:rFonts w:hint="default" w:ascii="Times New Roman" w:hAnsi="Times New Roman" w:eastAsia="宋体" w:cs="Times New Roman"/>
                <w:color w:val="000000" w:themeColor="text1"/>
                <w:kern w:val="0"/>
                <w:sz w:val="21"/>
                <w:szCs w:val="21"/>
              </w:rPr>
              <w:t>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41" w:hRule="atLeast"/>
        </w:trPr>
        <w:tc>
          <w:tcPr>
            <w:tcW w:w="55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7</w:t>
            </w:r>
          </w:p>
        </w:tc>
        <w:tc>
          <w:tcPr>
            <w:tcW w:w="1044"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消防手套</w:t>
            </w:r>
          </w:p>
        </w:tc>
        <w:tc>
          <w:tcPr>
            <w:tcW w:w="165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消防灭火，耐火</w:t>
            </w:r>
          </w:p>
        </w:tc>
        <w:tc>
          <w:tcPr>
            <w:tcW w:w="1166" w:type="dxa"/>
            <w:tcBorders>
              <w:tl2br w:val="nil"/>
              <w:tr2bl w:val="nil"/>
            </w:tcBorders>
            <w:vAlign w:val="center"/>
          </w:tcPr>
          <w:p>
            <w:pPr>
              <w:spacing w:line="240" w:lineRule="auto"/>
              <w:ind w:firstLine="420"/>
              <w:jc w:val="center"/>
              <w:rPr>
                <w:rStyle w:val="39"/>
                <w:rFonts w:hint="eastAsia" w:ascii="宋体" w:hAnsi="宋体" w:eastAsia="宋体" w:cs="宋体"/>
                <w:color w:val="000000" w:themeColor="text1"/>
                <w:kern w:val="0"/>
                <w:sz w:val="21"/>
                <w:szCs w:val="21"/>
              </w:rPr>
            </w:pPr>
          </w:p>
        </w:tc>
        <w:tc>
          <w:tcPr>
            <w:tcW w:w="58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default" w:ascii="Times New Roman" w:hAnsi="Times New Roman" w:eastAsia="宋体" w:cs="Times New Roman"/>
                <w:color w:val="000000" w:themeColor="text1"/>
                <w:kern w:val="0"/>
                <w:sz w:val="24"/>
                <w:szCs w:val="24"/>
              </w:rPr>
              <w:t>2</w:t>
            </w:r>
          </w:p>
        </w:tc>
        <w:tc>
          <w:tcPr>
            <w:tcW w:w="1432" w:type="dxa"/>
            <w:tcBorders>
              <w:tl2br w:val="nil"/>
              <w:tr2bl w:val="nil"/>
            </w:tcBorders>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微型消防站</w:t>
            </w:r>
          </w:p>
        </w:tc>
        <w:tc>
          <w:tcPr>
            <w:tcW w:w="148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陈龙</w:t>
            </w:r>
            <w:r>
              <w:rPr>
                <w:rStyle w:val="39"/>
                <w:rFonts w:hint="default" w:ascii="Times New Roman" w:hAnsi="Times New Roman" w:eastAsia="宋体" w:cs="Times New Roman"/>
                <w:color w:val="000000" w:themeColor="text1"/>
                <w:kern w:val="0"/>
                <w:sz w:val="21"/>
                <w:szCs w:val="21"/>
              </w:rPr>
              <w:t>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41" w:hRule="atLeast"/>
        </w:trPr>
        <w:tc>
          <w:tcPr>
            <w:tcW w:w="55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8</w:t>
            </w:r>
          </w:p>
        </w:tc>
        <w:tc>
          <w:tcPr>
            <w:tcW w:w="1044"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安全带</w:t>
            </w:r>
          </w:p>
        </w:tc>
        <w:tc>
          <w:tcPr>
            <w:tcW w:w="165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高空作业防护保护</w:t>
            </w:r>
          </w:p>
        </w:tc>
        <w:tc>
          <w:tcPr>
            <w:tcW w:w="1166" w:type="dxa"/>
            <w:tcBorders>
              <w:tl2br w:val="nil"/>
              <w:tr2bl w:val="nil"/>
            </w:tcBorders>
            <w:vAlign w:val="center"/>
          </w:tcPr>
          <w:p>
            <w:pPr>
              <w:spacing w:line="240" w:lineRule="auto"/>
              <w:ind w:firstLine="420"/>
              <w:jc w:val="center"/>
              <w:rPr>
                <w:rStyle w:val="39"/>
                <w:rFonts w:hint="eastAsia" w:ascii="宋体" w:hAnsi="宋体" w:eastAsia="宋体" w:cs="宋体"/>
                <w:color w:val="000000" w:themeColor="text1"/>
                <w:kern w:val="0"/>
                <w:sz w:val="21"/>
                <w:szCs w:val="21"/>
              </w:rPr>
            </w:pPr>
          </w:p>
        </w:tc>
        <w:tc>
          <w:tcPr>
            <w:tcW w:w="58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default" w:ascii="Times New Roman" w:hAnsi="Times New Roman" w:eastAsia="宋体" w:cs="Times New Roman"/>
                <w:color w:val="000000" w:themeColor="text1"/>
                <w:kern w:val="0"/>
                <w:sz w:val="24"/>
                <w:szCs w:val="24"/>
              </w:rPr>
              <w:t>2</w:t>
            </w:r>
          </w:p>
        </w:tc>
        <w:tc>
          <w:tcPr>
            <w:tcW w:w="1432" w:type="dxa"/>
            <w:tcBorders>
              <w:tl2br w:val="nil"/>
              <w:tr2bl w:val="nil"/>
            </w:tcBorders>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微型消防站</w:t>
            </w:r>
          </w:p>
        </w:tc>
        <w:tc>
          <w:tcPr>
            <w:tcW w:w="148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陈龙</w:t>
            </w:r>
            <w:r>
              <w:rPr>
                <w:rStyle w:val="39"/>
                <w:rFonts w:hint="default" w:ascii="Times New Roman" w:hAnsi="Times New Roman" w:eastAsia="宋体" w:cs="Times New Roman"/>
                <w:color w:val="000000" w:themeColor="text1"/>
                <w:kern w:val="0"/>
                <w:sz w:val="21"/>
                <w:szCs w:val="21"/>
              </w:rPr>
              <w:t>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46" w:hRule="atLeast"/>
        </w:trPr>
        <w:tc>
          <w:tcPr>
            <w:tcW w:w="552"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9</w:t>
            </w:r>
          </w:p>
        </w:tc>
        <w:tc>
          <w:tcPr>
            <w:tcW w:w="1044"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安全帽</w:t>
            </w:r>
          </w:p>
        </w:tc>
        <w:tc>
          <w:tcPr>
            <w:tcW w:w="165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头部防砸防撞</w:t>
            </w:r>
          </w:p>
        </w:tc>
        <w:tc>
          <w:tcPr>
            <w:tcW w:w="1166" w:type="dxa"/>
            <w:tcBorders>
              <w:tl2br w:val="nil"/>
              <w:tr2bl w:val="nil"/>
            </w:tcBorders>
            <w:vAlign w:val="center"/>
          </w:tcPr>
          <w:p>
            <w:pPr>
              <w:spacing w:line="240" w:lineRule="auto"/>
              <w:ind w:firstLine="420"/>
              <w:jc w:val="center"/>
              <w:rPr>
                <w:rStyle w:val="39"/>
                <w:rFonts w:hint="eastAsia" w:ascii="宋体" w:hAnsi="宋体" w:eastAsia="宋体" w:cs="宋体"/>
                <w:color w:val="000000" w:themeColor="text1"/>
                <w:kern w:val="0"/>
                <w:sz w:val="21"/>
                <w:szCs w:val="21"/>
              </w:rPr>
            </w:pPr>
          </w:p>
        </w:tc>
        <w:tc>
          <w:tcPr>
            <w:tcW w:w="581" w:type="dxa"/>
            <w:tcBorders>
              <w:tl2br w:val="nil"/>
              <w:tr2bl w:val="nil"/>
            </w:tcBorders>
            <w:vAlign w:val="center"/>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default" w:ascii="Times New Roman" w:hAnsi="Times New Roman" w:eastAsia="宋体" w:cs="Times New Roman"/>
                <w:color w:val="000000" w:themeColor="text1"/>
                <w:kern w:val="0"/>
                <w:sz w:val="24"/>
                <w:szCs w:val="24"/>
              </w:rPr>
              <w:t>2</w:t>
            </w:r>
          </w:p>
        </w:tc>
        <w:tc>
          <w:tcPr>
            <w:tcW w:w="1432" w:type="dxa"/>
            <w:tcBorders>
              <w:tl2br w:val="nil"/>
              <w:tr2bl w:val="nil"/>
            </w:tcBorders>
          </w:tcPr>
          <w:p>
            <w:pPr>
              <w:spacing w:line="240" w:lineRule="auto"/>
              <w:ind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油罐区</w:t>
            </w:r>
          </w:p>
        </w:tc>
        <w:tc>
          <w:tcPr>
            <w:tcW w:w="1482" w:type="dxa"/>
            <w:tcBorders>
              <w:tl2br w:val="nil"/>
              <w:tr2bl w:val="nil"/>
            </w:tcBorders>
            <w:vAlign w:val="center"/>
          </w:tcPr>
          <w:p>
            <w:pPr>
              <w:spacing w:line="240" w:lineRule="auto"/>
              <w:ind w:firstLine="0" w:firstLineChars="0"/>
              <w:jc w:val="center"/>
              <w:rPr>
                <w:rStyle w:val="39"/>
                <w:rFonts w:hint="eastAsia" w:ascii="宋体" w:hAnsi="宋体" w:eastAsia="宋体" w:cs="宋体"/>
                <w:color w:val="000000" w:themeColor="text1"/>
                <w:kern w:val="0"/>
                <w:sz w:val="21"/>
                <w:szCs w:val="21"/>
              </w:rPr>
            </w:pPr>
            <w:r>
              <w:rPr>
                <w:rStyle w:val="39"/>
                <w:rFonts w:hint="eastAsia" w:ascii="宋体" w:hAnsi="宋体" w:eastAsia="宋体" w:cs="宋体"/>
                <w:color w:val="000000" w:themeColor="text1"/>
                <w:kern w:val="0"/>
                <w:sz w:val="21"/>
                <w:szCs w:val="21"/>
              </w:rPr>
              <w:t>陈龙</w:t>
            </w:r>
            <w:r>
              <w:rPr>
                <w:rStyle w:val="39"/>
                <w:rFonts w:hint="default" w:ascii="Times New Roman" w:hAnsi="Times New Roman" w:eastAsia="宋体" w:cs="Times New Roman"/>
                <w:color w:val="000000" w:themeColor="text1"/>
                <w:kern w:val="0"/>
                <w:sz w:val="21"/>
                <w:szCs w:val="21"/>
              </w:rPr>
              <w:t>15979097145</w:t>
            </w:r>
          </w:p>
        </w:tc>
      </w:tr>
    </w:tbl>
    <w:p>
      <w:pPr>
        <w:spacing w:line="360" w:lineRule="auto"/>
        <w:ind w:firstLine="480" w:firstLineChars="200"/>
        <w:rPr>
          <w:sz w:val="24"/>
        </w:rPr>
      </w:pPr>
      <w:r>
        <w:rPr>
          <w:sz w:val="24"/>
        </w:rPr>
        <w:t>根据加油站现有应急物质情况：应适当增加补充覆盖泡沫、担架、移动式潜污泵及塑料软水管</w:t>
      </w:r>
      <w:r>
        <w:rPr>
          <w:rFonts w:hint="eastAsia"/>
          <w:sz w:val="24"/>
        </w:rPr>
        <w:t>、应急药箱等</w:t>
      </w:r>
      <w:r>
        <w:rPr>
          <w:sz w:val="24"/>
        </w:rPr>
        <w:t>。</w:t>
      </w:r>
    </w:p>
    <w:p>
      <w:pPr>
        <w:pStyle w:val="13"/>
        <w:spacing w:line="360" w:lineRule="auto"/>
        <w:jc w:val="both"/>
        <w:rPr>
          <w:rFonts w:ascii="Times New Roman" w:hAnsi="Times New Roman"/>
          <w:b/>
          <w:bCs/>
        </w:rPr>
      </w:pPr>
      <w:r>
        <w:rPr>
          <w:rFonts w:ascii="Times New Roman" w:hAnsi="Times New Roman"/>
          <w:b/>
          <w:bCs/>
        </w:rPr>
        <w:t>3、应急池设置情况</w:t>
      </w:r>
    </w:p>
    <w:p>
      <w:pPr>
        <w:pStyle w:val="13"/>
        <w:widowControl w:val="0"/>
        <w:spacing w:beforeAutospacing="0" w:afterAutospacing="0" w:line="360" w:lineRule="auto"/>
        <w:ind w:firstLine="480" w:firstLineChars="200"/>
        <w:rPr>
          <w:rFonts w:ascii="Times New Roman" w:hAnsi="Times New Roman"/>
        </w:rPr>
      </w:pPr>
      <w:r>
        <w:rPr>
          <w:rFonts w:ascii="Times New Roman" w:hAnsi="Times New Roman"/>
        </w:rPr>
        <w:t>加油站目前未设置事故应急池，存在事故消防废水外排风险，建议今后按相关规范要求设置事故应急池。</w:t>
      </w:r>
    </w:p>
    <w:p>
      <w:pPr>
        <w:spacing w:line="360" w:lineRule="auto"/>
        <w:ind w:firstLine="480" w:firstLineChars="200"/>
        <w:rPr>
          <w:sz w:val="24"/>
        </w:rPr>
      </w:pPr>
      <w:r>
        <w:rPr>
          <w:sz w:val="24"/>
        </w:rPr>
        <w:t>事故应急池作用：收集污水处理站事故状态下加油站污水、消防废水。</w:t>
      </w:r>
    </w:p>
    <w:p>
      <w:pPr>
        <w:pStyle w:val="13"/>
        <w:spacing w:line="360" w:lineRule="auto"/>
        <w:jc w:val="both"/>
        <w:rPr>
          <w:rFonts w:ascii="Times New Roman" w:hAnsi="Times New Roman"/>
          <w:b/>
          <w:bCs/>
        </w:rPr>
      </w:pPr>
      <w:r>
        <w:rPr>
          <w:rFonts w:ascii="Times New Roman" w:hAnsi="Times New Roman"/>
          <w:b/>
          <w:bCs/>
        </w:rPr>
        <w:t>4、公司应急救援队伍设置</w:t>
      </w:r>
    </w:p>
    <w:p>
      <w:pPr>
        <w:pStyle w:val="23"/>
        <w:widowControl w:val="0"/>
        <w:spacing w:beforeAutospacing="0" w:afterAutospacing="0" w:line="500" w:lineRule="exact"/>
        <w:rPr>
          <w:rFonts w:hint="default" w:ascii="Times New Roman" w:hAnsi="Times New Roman"/>
        </w:rPr>
      </w:pPr>
      <w:r>
        <w:rPr>
          <w:rFonts w:ascii="Times New Roman" w:hAnsi="Times New Roman"/>
        </w:rPr>
        <w:t>中国</w:t>
      </w:r>
      <w:r>
        <w:rPr>
          <w:rFonts w:hint="eastAsia" w:ascii="Times New Roman" w:hAnsi="Times New Roman"/>
          <w:lang w:val="en-US" w:eastAsia="zh-CN"/>
        </w:rPr>
        <w:t>石油天然气</w:t>
      </w:r>
      <w:r>
        <w:rPr>
          <w:rFonts w:ascii="Times New Roman" w:hAnsi="Times New Roman"/>
        </w:rPr>
        <w:t>股份有限公司南昌</w:t>
      </w:r>
      <w:r>
        <w:rPr>
          <w:rFonts w:hint="eastAsia" w:ascii="Times New Roman" w:hAnsi="Times New Roman"/>
          <w:lang w:val="en-US" w:eastAsia="zh-CN"/>
        </w:rPr>
        <w:t>双港大道</w:t>
      </w:r>
      <w:r>
        <w:rPr>
          <w:rFonts w:ascii="Times New Roman" w:hAnsi="Times New Roman"/>
        </w:rPr>
        <w:t>加油站</w:t>
      </w:r>
      <w:r>
        <w:rPr>
          <w:rFonts w:hint="default" w:ascii="Times New Roman" w:hAnsi="Times New Roman"/>
        </w:rPr>
        <w:t>成立突发性环境事件应急救援“指挥领导小组”，由公司经理、</w:t>
      </w:r>
      <w:r>
        <w:rPr>
          <w:rFonts w:ascii="Times New Roman" w:hAnsi="Times New Roman"/>
        </w:rPr>
        <w:t>副经理、</w:t>
      </w:r>
      <w:r>
        <w:rPr>
          <w:rFonts w:hint="default" w:ascii="Times New Roman" w:hAnsi="Times New Roman"/>
        </w:rPr>
        <w:t>加油站站长、安全员等组成，下设应急救援办公室(设在加油站办公室)，日常工作由</w:t>
      </w:r>
      <w:r>
        <w:rPr>
          <w:rFonts w:ascii="Times New Roman" w:hAnsi="Times New Roman"/>
        </w:rPr>
        <w:t>副经理</w:t>
      </w:r>
      <w:r>
        <w:rPr>
          <w:rFonts w:hint="default" w:ascii="Times New Roman" w:hAnsi="Times New Roman"/>
        </w:rPr>
        <w:t>兼管，并由营业室协助事故报警及事故处理工作。发生突发性环境污染事故时，以指挥领导小组为基础，公司总经理任总指挥，</w:t>
      </w:r>
      <w:r>
        <w:rPr>
          <w:rFonts w:ascii="Times New Roman" w:hAnsi="Times New Roman"/>
        </w:rPr>
        <w:t>副经理</w:t>
      </w:r>
      <w:r>
        <w:rPr>
          <w:rFonts w:hint="default" w:ascii="Times New Roman" w:hAnsi="Times New Roman"/>
        </w:rPr>
        <w:t>任副总指挥，负责加油站应急救援工作的组织和指挥，指挥部设在加油站办公室。</w:t>
      </w:r>
    </w:p>
    <w:p>
      <w:pPr>
        <w:pStyle w:val="23"/>
        <w:widowControl w:val="0"/>
        <w:spacing w:beforeAutospacing="0" w:afterAutospacing="0" w:line="500" w:lineRule="exact"/>
        <w:rPr>
          <w:rFonts w:hint="default" w:ascii="Times New Roman" w:hAnsi="Times New Roman"/>
        </w:rPr>
      </w:pPr>
      <w:r>
        <w:rPr>
          <w:rFonts w:hint="default" w:ascii="Times New Roman" w:hAnsi="Times New Roman"/>
        </w:rPr>
        <w:t>突发环境事件应急指挥部根据加油站环境污染源实际情况，分别设立应急救援办公室、物资后勤保障组。突发环境事件应急救援组织机构见下图：</w:t>
      </w:r>
    </w:p>
    <w:p>
      <w:pPr>
        <w:spacing w:beforeAutospacing="1" w:afterAutospacing="1" w:line="500" w:lineRule="exact"/>
        <w:jc w:val="left"/>
        <w:rPr>
          <w:color w:val="000000"/>
          <w:kern w:val="0"/>
          <w:sz w:val="24"/>
        </w:rPr>
      </w:pPr>
      <w:r>
        <w:pict>
          <v:line id="直接连接符 23" o:spid="_x0000_s1050" o:spt="20" style="position:absolute;left:0pt;margin-left:151.05pt;margin-top:43.05pt;height:21.65pt;width:0.05pt;z-index:25165619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">
            <v:path arrowok="t"/>
            <v:fill focussize="0,0"/>
            <v:stroke endarrow="block"/>
            <v:imagedata o:title=""/>
            <o:lock v:ext="edit"/>
          </v:line>
        </w:pict>
      </w:r>
      <w:r>
        <w:pict>
          <v:rect id="矩形 5" o:spid="_x0000_s1049" o:spt="1" style="position:absolute;left:0pt;margin-left:109.45pt;margin-top:6.05pt;height:36.3pt;width:98.5pt;z-index:25165107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">
            <v:path/>
            <v:fill focussize="0,0"/>
            <v:stroke/>
            <v:imagedata o:title=""/>
            <o:lock v:ext="edit"/>
            <v:textbox>
              <w:txbxContent>
                <w:p>
                  <w:pPr>
                    <w:jc w:val="center"/>
                    <w:rPr>
                      <w:rFonts w:ascii="宋体" w:hAnsi="宋体"/>
                      <w:szCs w:val="20"/>
                    </w:rPr>
                  </w:pPr>
                  <w:r>
                    <w:rPr>
                      <w:rFonts w:hint="eastAsia" w:ascii="宋体" w:hAnsi="宋体"/>
                      <w:szCs w:val="20"/>
                    </w:rPr>
                    <w:t>指挥长：</w:t>
                  </w:r>
                  <w:r>
                    <w:rPr>
                      <w:rStyle w:val="39"/>
                      <w:rFonts w:ascii="Times New Roman" w:hAnsi="Times New Roman"/>
                      <w:spacing w:val="4"/>
                      <w:sz w:val="21"/>
                      <w:szCs w:val="21"/>
                    </w:rPr>
                    <w:t>李诵剑</w:t>
                  </w:r>
                </w:p>
              </w:txbxContent>
            </v:textbox>
          </v:rect>
        </w:pict>
      </w:r>
      <w:r>
        <w:pict>
          <v:line id="直接连接符 29" o:spid="_x0000_s1048" o:spt="20" style="position:absolute;left:0pt;margin-left:254.9pt;margin-top:23.35pt;height:54.75pt;width:0.05pt;z-index:25166233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">
            <v:path arrowok="t"/>
            <v:fill focussize="0,0"/>
            <v:stroke/>
            <v:imagedata o:title=""/>
            <o:lock v:ext="edit"/>
          </v:line>
        </w:pict>
      </w:r>
      <w:r>
        <w:pict>
          <v:line id="直接连接符 40" o:spid="_x0000_s1047" o:spt="20" style="position:absolute;left:0pt;margin-left:207.65pt;margin-top:24.85pt;height:0.05pt;width:48pt;z-index:25166131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">
            <v:path arrowok="t"/>
            <v:fill focussize="0,0"/>
            <v:stroke/>
            <v:imagedata o:title=""/>
            <o:lock v:ext="edit"/>
          </v:line>
        </w:pict>
      </w:r>
    </w:p>
    <w:p>
      <w:pPr>
        <w:widowControl/>
        <w:spacing w:before="100" w:beforeAutospacing="1" w:after="100" w:afterAutospacing="1" w:line="336" w:lineRule="auto"/>
        <w:jc w:val="center"/>
        <w:rPr>
          <w:b/>
          <w:color w:val="000000"/>
          <w:kern w:val="0"/>
          <w:sz w:val="24"/>
        </w:rPr>
      </w:pPr>
      <w:r>
        <w:pict>
          <v:line id="直接连接符 22" o:spid="_x0000_s1043" o:spt="20" style="position:absolute;left:0pt;margin-left:255.65pt;margin-top:25pt;height:0.05pt;width:39.75pt;z-index:25166438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">
            <v:path arrowok="t"/>
            <v:fill focussize="0,0"/>
            <v:stroke/>
            <v:imagedata o:title=""/>
            <o:lock v:ext="edit"/>
          </v:line>
        </w:pict>
      </w:r>
      <w:r>
        <w:pict>
          <v:rect id="矩形 30" o:spid="_x0000_s1046" o:spt="1" style="position:absolute;left:0pt;margin-left:294.15pt;margin-top:9.75pt;height:25.7pt;width:110.15pt;z-index:251653120;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">
            <v:path/>
            <v:fill focussize="0,0"/>
            <v:stroke/>
            <v:imagedata o:title=""/>
            <o:lock v:ext="edit"/>
            <v:textbox>
              <w:txbxContent>
                <w:p>
                  <w:pPr>
                    <w:jc w:val="center"/>
                    <w:rPr>
                      <w:rFonts w:hint="default" w:ascii="宋体" w:hAnsi="宋体" w:eastAsia="宋体"/>
                      <w:szCs w:val="20"/>
                      <w:lang w:val="en-US" w:eastAsia="zh-CN"/>
                    </w:rPr>
                  </w:pPr>
                  <w:r>
                    <w:rPr>
                      <w:rFonts w:hint="eastAsia" w:ascii="宋体" w:hAnsi="宋体"/>
                      <w:szCs w:val="20"/>
                    </w:rPr>
                    <w:t>应急指挥部：</w:t>
                  </w:r>
                  <w:r>
                    <w:rPr>
                      <w:rStyle w:val="39"/>
                      <w:rFonts w:ascii="Times New Roman" w:hAnsi="Times New Roman"/>
                      <w:spacing w:val="4"/>
                      <w:sz w:val="21"/>
                      <w:szCs w:val="21"/>
                    </w:rPr>
                    <w:t>万艳茹</w:t>
                  </w:r>
                </w:p>
              </w:txbxContent>
            </v:textbox>
          </v:rect>
        </w:pict>
      </w:r>
      <w:r>
        <w:pict>
          <v:line id="直接连接符 7" o:spid="_x0000_s1045" o:spt="20" style="position:absolute;left:0pt;flip:x;margin-left:209.9pt;margin-top:25.35pt;height:0.8pt;width:46.5pt;z-index:251663360;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">
            <v:path arrowok="t"/>
            <v:fill focussize="0,0"/>
            <v:stroke/>
            <v:imagedata o:title=""/>
            <o:lock v:ext="edit"/>
          </v:line>
        </w:pict>
      </w:r>
      <w:r>
        <w:pict>
          <v:rect id="矩形 37" o:spid="_x0000_s1044" o:spt="1" style="position:absolute;left:0pt;margin-left:108pt;margin-top:11.3pt;height:33.65pt;width:100.45pt;z-index:25165209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">
            <v:path/>
            <v:fill focussize="0,0"/>
            <v:stroke/>
            <v:imagedata o:title=""/>
            <o:lock v:ext="edit"/>
            <v:textbox>
              <w:txbxContent>
                <w:p>
                  <w:pPr>
                    <w:jc w:val="center"/>
                    <w:rPr>
                      <w:rFonts w:ascii="宋体" w:hAnsi="宋体"/>
                      <w:szCs w:val="20"/>
                    </w:rPr>
                  </w:pPr>
                  <w:r>
                    <w:rPr>
                      <w:rFonts w:hint="eastAsia" w:ascii="宋体" w:hAnsi="宋体"/>
                      <w:szCs w:val="20"/>
                    </w:rPr>
                    <w:t>副指挥长：</w:t>
                  </w:r>
                  <w:r>
                    <w:rPr>
                      <w:rStyle w:val="39"/>
                      <w:rFonts w:ascii="Times New Roman" w:hAnsi="Times New Roman"/>
                      <w:spacing w:val="4"/>
                      <w:sz w:val="21"/>
                      <w:szCs w:val="21"/>
                    </w:rPr>
                    <w:t>陈和川</w:t>
                  </w:r>
                </w:p>
              </w:txbxContent>
            </v:textbox>
          </v:rect>
        </w:pict>
      </w:r>
    </w:p>
    <w:p>
      <w:pPr>
        <w:widowControl/>
        <w:spacing w:before="100" w:beforeAutospacing="1" w:after="100" w:afterAutospacing="1" w:line="336" w:lineRule="auto"/>
        <w:jc w:val="center"/>
        <w:rPr>
          <w:b/>
          <w:color w:val="000000"/>
          <w:kern w:val="0"/>
          <w:sz w:val="24"/>
        </w:rPr>
      </w:pPr>
      <w:r>
        <w:pict>
          <v:line id="直接连接符 38" o:spid="_x0000_s1042" o:spt="20" style="position:absolute;left:0pt;flip:x;margin-left:150.3pt;margin-top:11.6pt;height:19.6pt;width:0pt;z-index:25165721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">
            <v:path arrowok="t"/>
            <v:fill focussize="0,0"/>
            <v:stroke endarrow="block"/>
            <v:imagedata o:title=""/>
            <o:lock v:ext="edit"/>
          </v:line>
        </w:pict>
      </w:r>
      <w:r>
        <w:pict>
          <v:line id="直接连接符 39" o:spid="_x0000_s1041" o:spt="20" style="position:absolute;left:0pt;margin-left:260.85pt;margin-top:30.5pt;height:16.35pt;width:0.05pt;z-index:25166028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">
            <v:path arrowok="t"/>
            <v:fill focussize="0,0"/>
            <v:stroke endarrow="block"/>
            <v:imagedata o:title=""/>
            <o:lock v:ext="edit"/>
          </v:line>
        </w:pict>
      </w:r>
      <w:r>
        <w:pict>
          <v:line id="直接连接符 26" o:spid="_x0000_s1040" o:spt="20" style="position:absolute;left:0pt;margin-left:43.4pt;margin-top:31.15pt;height:17.5pt;width:0.05pt;z-index:251658240;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">
            <v:path arrowok="t"/>
            <v:fill focussize="0,0"/>
            <v:stroke endarrow="block"/>
            <v:imagedata o:title=""/>
            <o:lock v:ext="edit"/>
          </v:line>
        </w:pict>
      </w:r>
      <w:r>
        <w:pict>
          <v:line id="直接连接符 8" o:spid="_x0000_s1039" o:spt="20" style="position:absolute;left:0pt;margin-left:42.95pt;margin-top:30pt;height:0.1pt;width:217.5pt;z-index:25165414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">
            <v:path arrowok="t"/>
            <v:fill focussize="0,0"/>
            <v:stroke/>
            <v:imagedata o:title=""/>
            <o:lock v:ext="edit"/>
          </v:line>
        </w:pict>
      </w:r>
    </w:p>
    <w:p>
      <w:pPr>
        <w:widowControl/>
        <w:spacing w:before="100" w:beforeAutospacing="1" w:after="100" w:afterAutospacing="1" w:line="336" w:lineRule="auto"/>
        <w:jc w:val="center"/>
        <w:rPr>
          <w:b/>
          <w:sz w:val="24"/>
        </w:rPr>
      </w:pPr>
      <w:r>
        <w:pict>
          <v:rect id="矩形 9" o:spid="_x0000_s1037" o:spt="1" style="position:absolute;left:0pt;margin-left:16.4pt;margin-top:13.95pt;height:88.35pt;width:45.45pt;z-index:25165516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">
            <v:path/>
            <v:fill focussize="0,0"/>
            <v:stroke/>
            <v:imagedata o:title=""/>
            <o:lock v:ext="edit"/>
            <v:textbox style="layout-flow:vertical-ideographic;">
              <w:txbxContent>
                <w:p>
                  <w:pPr>
                    <w:rPr>
                      <w:rFonts w:ascii="宋体" w:hAnsi="宋体"/>
                      <w:sz w:val="18"/>
                      <w:szCs w:val="20"/>
                    </w:rPr>
                  </w:pPr>
                  <w:r>
                    <w:rPr>
                      <w:rFonts w:hint="eastAsia" w:ascii="宋体" w:hAnsi="宋体"/>
                      <w:szCs w:val="21"/>
                    </w:rPr>
                    <w:t>应急救援办公室负责人：</w:t>
                  </w:r>
                  <w:r>
                    <w:rPr>
                      <w:rStyle w:val="39"/>
                      <w:rFonts w:ascii="Times New Roman" w:hAnsi="Times New Roman"/>
                      <w:spacing w:val="4"/>
                      <w:sz w:val="21"/>
                      <w:szCs w:val="21"/>
                    </w:rPr>
                    <w:t>熊艳红</w:t>
                  </w:r>
                </w:p>
              </w:txbxContent>
            </v:textbox>
          </v:rect>
        </w:pict>
      </w:r>
      <w:r>
        <w:pict>
          <v:rect id="矩形 27" o:spid="_x0000_s1038" o:spt="1" style="position:absolute;left:0pt;margin-left:239.65pt;margin-top:9.95pt;height:92.05pt;width:43.7pt;z-index:251659264;mso-width-relative:page;mso-height-relative:page;"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">
            <v:path/>
            <v:fill on="f" focussize="0,0"/>
            <v:stroke color="#000000" joinstyle="miter"/>
            <v:imagedata o:title=""/>
            <o:lock v:ext="edit" aspectratio="f"/>
            <v:textbox style="layout-flow:vertical-ideographic;">
              <w:txbxContent>
                <w:p>
                  <w:pPr>
                    <w:rPr>
                      <w:rFonts w:ascii="宋体" w:hAnsi="宋体"/>
                      <w:szCs w:val="21"/>
                    </w:rPr>
                  </w:pPr>
                  <w:r>
                    <w:rPr>
                      <w:rFonts w:hint="eastAsia" w:ascii="宋体" w:hAnsi="宋体"/>
                      <w:szCs w:val="21"/>
                    </w:rPr>
                    <w:t>物资后勤保障组</w:t>
                  </w:r>
                </w:p>
                <w:p>
                  <w:pPr>
                    <w:rPr>
                      <w:rFonts w:ascii="宋体" w:hAnsi="宋体"/>
                      <w:szCs w:val="21"/>
                    </w:rPr>
                  </w:pPr>
                  <w:r>
                    <w:rPr>
                      <w:rFonts w:hint="eastAsia" w:ascii="宋体" w:hAnsi="宋体"/>
                      <w:szCs w:val="21"/>
                    </w:rPr>
                    <w:t>负责人：</w:t>
                  </w:r>
                  <w:r>
                    <w:rPr>
                      <w:rStyle w:val="39"/>
                      <w:rFonts w:ascii="Times New Roman" w:hAnsi="Times New Roman"/>
                      <w:spacing w:val="4"/>
                      <w:sz w:val="21"/>
                      <w:szCs w:val="21"/>
                    </w:rPr>
                    <w:t>李诵剑</w:t>
                  </w:r>
                </w:p>
                <w:p>
                  <w:pPr>
                    <w:rPr>
                      <w:rFonts w:ascii="宋体" w:hAnsi="宋体"/>
                      <w:szCs w:val="21"/>
                    </w:rPr>
                  </w:pPr>
                </w:p>
              </w:txbxContent>
            </v:textbox>
          </v:rect>
        </w:pict>
      </w:r>
    </w:p>
    <w:p>
      <w:pPr>
        <w:snapToGrid w:val="0"/>
        <w:spacing w:line="360" w:lineRule="auto"/>
        <w:ind w:firstLine="482" w:firstLineChars="200"/>
        <w:rPr>
          <w:b/>
          <w:sz w:val="24"/>
        </w:rPr>
      </w:pPr>
    </w:p>
    <w:p>
      <w:pPr>
        <w:snapToGrid w:val="0"/>
        <w:spacing w:line="360" w:lineRule="auto"/>
        <w:ind w:firstLine="482" w:firstLineChars="200"/>
        <w:rPr>
          <w:b/>
          <w:sz w:val="24"/>
        </w:rPr>
      </w:pPr>
    </w:p>
    <w:p>
      <w:pPr>
        <w:snapToGrid w:val="0"/>
        <w:spacing w:line="360" w:lineRule="auto"/>
        <w:ind w:firstLine="482" w:firstLineChars="200"/>
        <w:rPr>
          <w:b/>
          <w:sz w:val="24"/>
        </w:rPr>
      </w:pPr>
    </w:p>
    <w:p>
      <w:pPr>
        <w:snapToGrid w:val="0"/>
        <w:spacing w:line="360" w:lineRule="auto"/>
        <w:ind w:firstLine="482" w:firstLineChars="200"/>
        <w:rPr>
          <w:b/>
          <w:sz w:val="24"/>
        </w:rPr>
      </w:pPr>
    </w:p>
    <w:p>
      <w:pPr>
        <w:snapToGrid w:val="0"/>
        <w:spacing w:line="360" w:lineRule="auto"/>
        <w:ind w:firstLine="482" w:firstLineChars="200"/>
        <w:rPr>
          <w:b/>
          <w:sz w:val="24"/>
        </w:rPr>
      </w:pPr>
      <w:r>
        <w:rPr>
          <w:b/>
          <w:sz w:val="24"/>
        </w:rPr>
        <w:t>应急救援领导小组职责：</w:t>
      </w:r>
    </w:p>
    <w:p>
      <w:pPr>
        <w:pStyle w:val="23"/>
        <w:widowControl w:val="0"/>
        <w:spacing w:beforeAutospacing="0" w:afterAutospacing="0"/>
        <w:rPr>
          <w:rFonts w:hint="default" w:ascii="Times New Roman" w:hAnsi="Times New Roman"/>
        </w:rPr>
      </w:pPr>
      <w:r>
        <w:rPr>
          <w:rFonts w:hint="default" w:ascii="Times New Roman" w:hAnsi="Times New Roman"/>
        </w:rPr>
        <w:t>（1）应急救援领导小组负责加油站“应急救援预案”的评审、修改；组建应急救援专业队伍，组织实施和演练；检查监督好重大事故的预防措施和应急救援的各项准备工作（包括应急物资装备、灭火设备、救援人员个人防护用品等）；</w:t>
      </w:r>
    </w:p>
    <w:p>
      <w:pPr>
        <w:pStyle w:val="23"/>
        <w:widowControl w:val="0"/>
        <w:spacing w:beforeAutospacing="0" w:afterAutospacing="0"/>
        <w:rPr>
          <w:rFonts w:hint="default" w:ascii="Times New Roman" w:hAnsi="Times New Roman"/>
        </w:rPr>
      </w:pPr>
      <w:r>
        <w:rPr>
          <w:rFonts w:hint="default" w:ascii="Times New Roman" w:hAnsi="Times New Roman"/>
        </w:rPr>
        <w:t>（2）分析判断事故、事件或灾情的受影响区域、危害程度，确定响应级别；</w:t>
      </w:r>
    </w:p>
    <w:p>
      <w:pPr>
        <w:pStyle w:val="23"/>
        <w:widowControl w:val="0"/>
        <w:spacing w:beforeAutospacing="0" w:afterAutospacing="0"/>
        <w:rPr>
          <w:rFonts w:hint="default" w:ascii="Times New Roman" w:hAnsi="Times New Roman"/>
        </w:rPr>
      </w:pPr>
      <w:r>
        <w:rPr>
          <w:rFonts w:hint="default" w:ascii="Times New Roman" w:hAnsi="Times New Roman"/>
        </w:rPr>
        <w:t>（3）决定启动应急救援预案，组织、指挥、协调各相关部门进行应急救援行动；</w:t>
      </w:r>
    </w:p>
    <w:p>
      <w:pPr>
        <w:pStyle w:val="23"/>
        <w:widowControl w:val="0"/>
        <w:spacing w:beforeAutospacing="0" w:afterAutospacing="0"/>
        <w:rPr>
          <w:rFonts w:hint="default" w:ascii="Times New Roman" w:hAnsi="Times New Roman"/>
        </w:rPr>
      </w:pPr>
      <w:r>
        <w:rPr>
          <w:rFonts w:hint="default" w:ascii="Times New Roman" w:hAnsi="Times New Roman"/>
        </w:rPr>
        <w:t>（4）批准启动现场抢救方案；</w:t>
      </w:r>
    </w:p>
    <w:p>
      <w:pPr>
        <w:pStyle w:val="23"/>
        <w:widowControl w:val="0"/>
        <w:spacing w:beforeAutospacing="0" w:afterAutospacing="0"/>
        <w:rPr>
          <w:rFonts w:hint="default" w:ascii="Times New Roman" w:hAnsi="Times New Roman"/>
        </w:rPr>
      </w:pPr>
      <w:r>
        <w:rPr>
          <w:rFonts w:hint="default" w:ascii="Times New Roman" w:hAnsi="Times New Roman"/>
        </w:rPr>
        <w:t>（5）报告上级机关，与地方政府应急反应组织或机构进行联系，通报事故、事件或灾害情况；</w:t>
      </w:r>
    </w:p>
    <w:p>
      <w:pPr>
        <w:pStyle w:val="23"/>
        <w:widowControl w:val="0"/>
        <w:spacing w:beforeAutospacing="0" w:afterAutospacing="0"/>
        <w:rPr>
          <w:rFonts w:hint="default" w:ascii="Times New Roman" w:hAnsi="Times New Roman"/>
        </w:rPr>
      </w:pPr>
      <w:r>
        <w:rPr>
          <w:rFonts w:hint="default" w:ascii="Times New Roman" w:hAnsi="Times New Roman"/>
        </w:rPr>
        <w:t>（6）评估事态发展程度，决定升高或降低应急救援级别；</w:t>
      </w:r>
    </w:p>
    <w:p>
      <w:pPr>
        <w:pStyle w:val="23"/>
        <w:widowControl w:val="0"/>
        <w:spacing w:beforeAutospacing="0" w:afterAutospacing="0"/>
        <w:rPr>
          <w:rFonts w:hint="default" w:ascii="Times New Roman" w:hAnsi="Times New Roman"/>
        </w:rPr>
      </w:pPr>
      <w:r>
        <w:rPr>
          <w:rFonts w:hint="default" w:ascii="Times New Roman" w:hAnsi="Times New Roman"/>
        </w:rPr>
        <w:t>（7）根据事态发展，决定请求外部援助；</w:t>
      </w:r>
    </w:p>
    <w:p>
      <w:pPr>
        <w:pStyle w:val="23"/>
        <w:widowControl w:val="0"/>
        <w:spacing w:beforeAutospacing="0" w:afterAutospacing="0"/>
        <w:rPr>
          <w:rFonts w:hint="default" w:ascii="Times New Roman" w:hAnsi="Times New Roman"/>
        </w:rPr>
      </w:pPr>
      <w:r>
        <w:rPr>
          <w:rFonts w:hint="default" w:ascii="Times New Roman" w:hAnsi="Times New Roman"/>
        </w:rPr>
        <w:t>（8）监察应急操作人员的行动，保证现场抢救和现场外其他人员的安全；</w:t>
      </w:r>
    </w:p>
    <w:p>
      <w:pPr>
        <w:pStyle w:val="23"/>
        <w:widowControl w:val="0"/>
        <w:spacing w:beforeAutospacing="0" w:afterAutospacing="0"/>
        <w:rPr>
          <w:rFonts w:hint="default" w:ascii="Times New Roman" w:hAnsi="Times New Roman"/>
        </w:rPr>
      </w:pPr>
      <w:r>
        <w:rPr>
          <w:rFonts w:hint="default" w:ascii="Times New Roman" w:hAnsi="Times New Roman"/>
        </w:rPr>
        <w:t>（9）决定救援人员、员工、家属从事故区域撤离，决定请求地方政府组织周边群众从事故受影响区域撤离；</w:t>
      </w:r>
    </w:p>
    <w:p>
      <w:pPr>
        <w:pStyle w:val="23"/>
        <w:widowControl w:val="0"/>
        <w:spacing w:beforeAutospacing="0" w:afterAutospacing="0"/>
        <w:rPr>
          <w:rFonts w:hint="default" w:ascii="Times New Roman" w:hAnsi="Times New Roman"/>
        </w:rPr>
      </w:pPr>
      <w:r>
        <w:rPr>
          <w:rFonts w:hint="default" w:ascii="Times New Roman" w:hAnsi="Times New Roman"/>
        </w:rPr>
        <w:t>（10）协调物资、设备、医疗、通讯、后勤等方面全力支持救援工作；</w:t>
      </w:r>
    </w:p>
    <w:p>
      <w:pPr>
        <w:pStyle w:val="23"/>
        <w:widowControl w:val="0"/>
        <w:spacing w:beforeAutospacing="0" w:afterAutospacing="0"/>
        <w:rPr>
          <w:rFonts w:hint="default" w:ascii="Times New Roman" w:hAnsi="Times New Roman"/>
        </w:rPr>
      </w:pPr>
      <w:r>
        <w:rPr>
          <w:rFonts w:hint="default" w:ascii="Times New Roman" w:hAnsi="Times New Roman"/>
        </w:rPr>
        <w:t>（11）宣布应急恢复、应急结束；</w:t>
      </w:r>
    </w:p>
    <w:p>
      <w:pPr>
        <w:pStyle w:val="23"/>
        <w:widowControl w:val="0"/>
        <w:spacing w:beforeAutospacing="0" w:afterAutospacing="0"/>
        <w:rPr>
          <w:rFonts w:hint="default" w:ascii="Times New Roman" w:hAnsi="Times New Roman"/>
        </w:rPr>
      </w:pPr>
      <w:r>
        <w:rPr>
          <w:rFonts w:hint="default" w:ascii="Times New Roman" w:hAnsi="Times New Roman"/>
        </w:rPr>
        <w:t>（12）决定并监督公司各类事故应急救援演练。</w:t>
      </w:r>
    </w:p>
    <w:p>
      <w:pPr>
        <w:snapToGrid w:val="0"/>
        <w:spacing w:line="360" w:lineRule="auto"/>
        <w:ind w:firstLine="482" w:firstLineChars="200"/>
        <w:rPr>
          <w:b/>
          <w:sz w:val="24"/>
        </w:rPr>
      </w:pPr>
      <w:r>
        <w:rPr>
          <w:b/>
          <w:sz w:val="24"/>
        </w:rPr>
        <w:t>总指挥职责：</w:t>
      </w:r>
    </w:p>
    <w:p>
      <w:pPr>
        <w:spacing w:line="360" w:lineRule="auto"/>
        <w:ind w:firstLine="480" w:firstLineChars="200"/>
        <w:rPr>
          <w:color w:val="000000"/>
          <w:sz w:val="24"/>
        </w:rPr>
      </w:pPr>
      <w:r>
        <w:rPr>
          <w:color w:val="000000"/>
          <w:sz w:val="24"/>
        </w:rPr>
        <w:t>①组织制定突发环境事件应急预案；</w:t>
      </w:r>
    </w:p>
    <w:p>
      <w:pPr>
        <w:spacing w:line="360" w:lineRule="auto"/>
        <w:ind w:firstLine="480" w:firstLineChars="200"/>
        <w:rPr>
          <w:color w:val="000000"/>
          <w:sz w:val="24"/>
        </w:rPr>
      </w:pPr>
      <w:r>
        <w:rPr>
          <w:color w:val="000000"/>
          <w:sz w:val="24"/>
        </w:rPr>
        <w:t>②组建突发环境事件应急救援队伍；</w:t>
      </w:r>
    </w:p>
    <w:p>
      <w:pPr>
        <w:spacing w:line="360" w:lineRule="auto"/>
        <w:ind w:firstLine="480" w:firstLineChars="200"/>
        <w:rPr>
          <w:color w:val="000000"/>
          <w:sz w:val="24"/>
        </w:rPr>
      </w:pPr>
      <w:r>
        <w:rPr>
          <w:color w:val="000000"/>
          <w:sz w:val="24"/>
        </w:rPr>
        <w:t>③负责启动与终止应急工作；</w:t>
      </w:r>
    </w:p>
    <w:p>
      <w:pPr>
        <w:spacing w:line="360" w:lineRule="auto"/>
        <w:ind w:firstLine="480" w:firstLineChars="200"/>
        <w:rPr>
          <w:color w:val="000000"/>
          <w:sz w:val="24"/>
        </w:rPr>
      </w:pPr>
      <w:r>
        <w:rPr>
          <w:color w:val="000000"/>
          <w:sz w:val="24"/>
        </w:rPr>
        <w:t>④负责掌握突发环境事件状况，根据突发环境事件的发展，确定现场指挥人员，推动应急组织工作的发挥；</w:t>
      </w:r>
    </w:p>
    <w:p>
      <w:pPr>
        <w:spacing w:line="360" w:lineRule="auto"/>
        <w:ind w:firstLine="480" w:firstLineChars="200"/>
        <w:rPr>
          <w:color w:val="000000"/>
          <w:sz w:val="24"/>
        </w:rPr>
      </w:pPr>
      <w:r>
        <w:rPr>
          <w:color w:val="000000"/>
          <w:sz w:val="24"/>
        </w:rPr>
        <w:t>⑤视突发环境事件状况和可能演化的趋势，判定是否需要外部救援或外借应急物资，接受上级应急救援指挥机构的指令和调动，协助事件的处理；</w:t>
      </w:r>
    </w:p>
    <w:p>
      <w:pPr>
        <w:spacing w:line="360" w:lineRule="auto"/>
        <w:ind w:firstLine="480" w:firstLineChars="200"/>
        <w:rPr>
          <w:color w:val="000000"/>
          <w:sz w:val="24"/>
        </w:rPr>
      </w:pPr>
      <w:r>
        <w:rPr>
          <w:color w:val="000000"/>
          <w:sz w:val="24"/>
        </w:rPr>
        <w:t>⑥组织内部和对政府的报告，配合有关部门对环境进行监测、修复、事件调查、经验教训总结；</w:t>
      </w:r>
    </w:p>
    <w:p>
      <w:pPr>
        <w:spacing w:line="360" w:lineRule="auto"/>
        <w:ind w:firstLine="480" w:firstLineChars="200"/>
        <w:rPr>
          <w:color w:val="000000"/>
          <w:sz w:val="24"/>
        </w:rPr>
      </w:pPr>
      <w:r>
        <w:rPr>
          <w:color w:val="000000"/>
          <w:sz w:val="24"/>
        </w:rPr>
        <w:fldChar w:fldCharType="begin"/>
      </w:r>
      <w:r>
        <w:rPr>
          <w:color w:val="000000"/>
          <w:sz w:val="24"/>
        </w:rPr>
        <w:instrText xml:space="preserve"> = 7 \* GB3 \* MERGEFORMAT </w:instrText>
      </w:r>
      <w:r>
        <w:rPr>
          <w:color w:val="000000"/>
          <w:sz w:val="24"/>
        </w:rPr>
        <w:fldChar w:fldCharType="separate"/>
      </w:r>
      <w:r>
        <w:rPr>
          <w:color w:val="000000"/>
          <w:sz w:val="24"/>
        </w:rPr>
        <w:t>⑦</w:t>
      </w:r>
      <w:r>
        <w:rPr>
          <w:color w:val="000000"/>
          <w:sz w:val="24"/>
        </w:rPr>
        <w:fldChar w:fldCharType="end"/>
      </w:r>
      <w:r>
        <w:rPr>
          <w:color w:val="000000"/>
          <w:sz w:val="24"/>
        </w:rPr>
        <w:t>每三年组织更新备案，每年组织演练，签署预案发布令等。</w:t>
      </w:r>
    </w:p>
    <w:p>
      <w:pPr>
        <w:spacing w:line="360" w:lineRule="auto"/>
        <w:ind w:firstLine="480" w:firstLineChars="200"/>
        <w:rPr>
          <w:sz w:val="24"/>
        </w:rPr>
      </w:pPr>
      <w:r>
        <w:rPr>
          <w:color w:val="000000"/>
          <w:sz w:val="24"/>
        </w:rPr>
        <w:t>⑧政府介入后，负责将指挥权移交政府。</w:t>
      </w:r>
    </w:p>
    <w:p>
      <w:pPr>
        <w:spacing w:line="360" w:lineRule="auto"/>
        <w:ind w:firstLine="482" w:firstLineChars="200"/>
        <w:rPr>
          <w:b/>
          <w:bCs/>
          <w:color w:val="000000"/>
          <w:sz w:val="24"/>
        </w:rPr>
      </w:pPr>
      <w:r>
        <w:rPr>
          <w:b/>
          <w:bCs/>
          <w:color w:val="000000"/>
          <w:sz w:val="24"/>
        </w:rPr>
        <w:t>副总指挥职责：</w:t>
      </w:r>
    </w:p>
    <w:p>
      <w:pPr>
        <w:spacing w:line="360" w:lineRule="auto"/>
        <w:ind w:firstLine="480" w:firstLineChars="200"/>
        <w:rPr>
          <w:color w:val="000000"/>
          <w:sz w:val="24"/>
        </w:rPr>
      </w:pPr>
      <w:r>
        <w:rPr>
          <w:color w:val="000000"/>
          <w:sz w:val="24"/>
        </w:rPr>
        <w:t>① 协助总指挥负责应急救援的具体操作和实施步骤的协调工作。</w:t>
      </w:r>
    </w:p>
    <w:p>
      <w:pPr>
        <w:spacing w:line="360" w:lineRule="auto"/>
        <w:ind w:firstLine="480" w:firstLineChars="200"/>
        <w:rPr>
          <w:sz w:val="24"/>
        </w:rPr>
      </w:pPr>
      <w:r>
        <w:rPr>
          <w:color w:val="000000"/>
          <w:sz w:val="24"/>
        </w:rPr>
        <w:t>② 总指挥不能到任时接替总指挥工作。</w:t>
      </w:r>
    </w:p>
    <w:p>
      <w:pPr>
        <w:snapToGrid w:val="0"/>
        <w:spacing w:line="360" w:lineRule="auto"/>
        <w:ind w:firstLine="482" w:firstLineChars="200"/>
        <w:rPr>
          <w:b/>
          <w:sz w:val="24"/>
        </w:rPr>
      </w:pPr>
      <w:r>
        <w:rPr>
          <w:b/>
          <w:sz w:val="24"/>
        </w:rPr>
        <w:t>应急救援办公室职责：</w:t>
      </w:r>
    </w:p>
    <w:p>
      <w:pPr>
        <w:spacing w:line="360" w:lineRule="auto"/>
        <w:ind w:firstLine="480" w:firstLineChars="200"/>
        <w:rPr>
          <w:color w:val="000000"/>
          <w:sz w:val="24"/>
        </w:rPr>
      </w:pPr>
      <w:r>
        <w:rPr>
          <w:color w:val="000000"/>
          <w:sz w:val="24"/>
        </w:rPr>
        <w:t>负责应急救援的日常工作。</w:t>
      </w:r>
    </w:p>
    <w:p>
      <w:pPr>
        <w:spacing w:line="360" w:lineRule="auto"/>
        <w:ind w:firstLine="480" w:firstLineChars="200"/>
        <w:rPr>
          <w:color w:val="000000"/>
          <w:sz w:val="24"/>
        </w:rPr>
      </w:pPr>
      <w:r>
        <w:rPr>
          <w:color w:val="000000"/>
          <w:sz w:val="24"/>
        </w:rPr>
        <w:t>①负责人员、应急资源配置、应急队伍的调动；</w:t>
      </w:r>
    </w:p>
    <w:p>
      <w:pPr>
        <w:spacing w:line="360" w:lineRule="auto"/>
        <w:ind w:firstLine="480" w:firstLineChars="200"/>
        <w:rPr>
          <w:color w:val="000000"/>
          <w:sz w:val="24"/>
        </w:rPr>
      </w:pPr>
      <w:r>
        <w:rPr>
          <w:color w:val="000000"/>
          <w:sz w:val="24"/>
        </w:rPr>
        <w:t>②协调和指挥事故现场处置救援工作；</w:t>
      </w:r>
    </w:p>
    <w:p>
      <w:pPr>
        <w:spacing w:line="360" w:lineRule="auto"/>
        <w:ind w:firstLine="480" w:firstLineChars="200"/>
        <w:rPr>
          <w:color w:val="000000"/>
          <w:sz w:val="24"/>
        </w:rPr>
      </w:pPr>
      <w:r>
        <w:rPr>
          <w:color w:val="000000"/>
          <w:sz w:val="24"/>
        </w:rPr>
        <w:t>③对事故现场情况进行侦察、评估，协同现场指挥制定抢救方案；</w:t>
      </w:r>
    </w:p>
    <w:p>
      <w:pPr>
        <w:spacing w:line="360" w:lineRule="auto"/>
        <w:ind w:firstLine="480" w:firstLineChars="200"/>
        <w:rPr>
          <w:color w:val="000000"/>
          <w:sz w:val="24"/>
        </w:rPr>
      </w:pPr>
      <w:r>
        <w:rPr>
          <w:color w:val="000000"/>
          <w:sz w:val="24"/>
        </w:rPr>
        <w:t>④组织本小组所有的力量严格按抢救方案实施现场抢救；</w:t>
      </w:r>
    </w:p>
    <w:p>
      <w:pPr>
        <w:spacing w:line="360" w:lineRule="auto"/>
        <w:ind w:firstLine="480" w:firstLineChars="200"/>
        <w:rPr>
          <w:color w:val="000000"/>
          <w:sz w:val="24"/>
        </w:rPr>
      </w:pPr>
      <w:r>
        <w:rPr>
          <w:color w:val="000000"/>
          <w:sz w:val="24"/>
        </w:rPr>
        <w:t>⑤监督本小组参与事故处置的应急人员执行有效的应急措施，保证小组内的应急人员的安全；</w:t>
      </w:r>
    </w:p>
    <w:p>
      <w:pPr>
        <w:spacing w:line="360" w:lineRule="auto"/>
        <w:ind w:firstLine="480" w:firstLineChars="200"/>
        <w:rPr>
          <w:sz w:val="24"/>
        </w:rPr>
      </w:pPr>
      <w:r>
        <w:rPr>
          <w:color w:val="000000"/>
          <w:sz w:val="24"/>
        </w:rPr>
        <w:fldChar w:fldCharType="begin"/>
      </w:r>
      <w:r>
        <w:rPr>
          <w:color w:val="000000"/>
          <w:sz w:val="24"/>
        </w:rPr>
        <w:instrText xml:space="preserve"> = 6 \* GB3 \* MERGEFORMAT </w:instrText>
      </w:r>
      <w:r>
        <w:rPr>
          <w:color w:val="000000"/>
          <w:sz w:val="24"/>
        </w:rPr>
        <w:fldChar w:fldCharType="separate"/>
      </w:r>
      <w:r>
        <w:rPr>
          <w:color w:val="000000"/>
          <w:sz w:val="24"/>
        </w:rPr>
        <w:t>⑥</w:t>
      </w:r>
      <w:r>
        <w:rPr>
          <w:color w:val="000000"/>
          <w:sz w:val="24"/>
        </w:rPr>
        <w:fldChar w:fldCharType="end"/>
      </w:r>
      <w:r>
        <w:rPr>
          <w:color w:val="000000"/>
          <w:sz w:val="24"/>
        </w:rPr>
        <w:t>协助政府环保部门展开环境监测工作，</w:t>
      </w:r>
      <w:r>
        <w:rPr>
          <w:color w:val="000000"/>
          <w:sz w:val="24"/>
          <w:lang w:val="zh-CN"/>
        </w:rPr>
        <w:t>处理事故发生后的环境遗留问题。</w:t>
      </w:r>
    </w:p>
    <w:p>
      <w:pPr>
        <w:snapToGrid w:val="0"/>
        <w:spacing w:line="360" w:lineRule="auto"/>
        <w:ind w:firstLine="482" w:firstLineChars="200"/>
        <w:rPr>
          <w:b/>
          <w:sz w:val="24"/>
        </w:rPr>
      </w:pPr>
      <w:r>
        <w:rPr>
          <w:b/>
          <w:sz w:val="24"/>
        </w:rPr>
        <w:t>物资后勤保障组职责：</w:t>
      </w:r>
    </w:p>
    <w:p>
      <w:pPr>
        <w:spacing w:line="360" w:lineRule="auto"/>
        <w:ind w:firstLine="480" w:firstLineChars="200"/>
        <w:rPr>
          <w:color w:val="000000"/>
          <w:sz w:val="24"/>
        </w:rPr>
      </w:pPr>
      <w:r>
        <w:rPr>
          <w:color w:val="000000"/>
          <w:sz w:val="24"/>
        </w:rPr>
        <w:t>①负责站区内外应急救援物资的调配与发放；</w:t>
      </w:r>
    </w:p>
    <w:p>
      <w:pPr>
        <w:spacing w:line="360" w:lineRule="auto"/>
        <w:ind w:firstLine="480" w:firstLineChars="200"/>
        <w:rPr>
          <w:color w:val="000000"/>
          <w:sz w:val="24"/>
        </w:rPr>
      </w:pPr>
      <w:r>
        <w:rPr>
          <w:color w:val="000000"/>
          <w:sz w:val="24"/>
        </w:rPr>
        <w:t>②负责做好应急资金的保障工作；</w:t>
      </w:r>
    </w:p>
    <w:p>
      <w:pPr>
        <w:spacing w:line="360" w:lineRule="auto"/>
        <w:ind w:firstLine="480" w:firstLineChars="200"/>
        <w:rPr>
          <w:color w:val="000000"/>
          <w:sz w:val="24"/>
        </w:rPr>
      </w:pPr>
      <w:r>
        <w:rPr>
          <w:color w:val="000000"/>
          <w:sz w:val="24"/>
        </w:rPr>
        <w:t>③保证加油站内所有通讯处于畅通状态；</w:t>
      </w:r>
    </w:p>
    <w:p>
      <w:pPr>
        <w:spacing w:line="360" w:lineRule="auto"/>
        <w:ind w:firstLine="480" w:firstLineChars="200"/>
        <w:rPr>
          <w:color w:val="000000"/>
          <w:sz w:val="24"/>
        </w:rPr>
      </w:pPr>
      <w:r>
        <w:rPr>
          <w:color w:val="000000"/>
          <w:sz w:val="24"/>
        </w:rPr>
        <w:t>④负责布置安全警戒，禁止无关人员和车辆进入危险区域；</w:t>
      </w:r>
    </w:p>
    <w:p>
      <w:pPr>
        <w:spacing w:line="360" w:lineRule="auto"/>
        <w:ind w:firstLine="480" w:firstLineChars="200"/>
        <w:rPr>
          <w:color w:val="000000"/>
          <w:sz w:val="24"/>
        </w:rPr>
      </w:pPr>
      <w:r>
        <w:rPr>
          <w:color w:val="000000"/>
          <w:sz w:val="24"/>
        </w:rPr>
        <w:t>⑤交通疏导、交通管制，确保运送应急物资及人员的畅通；</w:t>
      </w:r>
    </w:p>
    <w:p>
      <w:pPr>
        <w:spacing w:line="360" w:lineRule="auto"/>
        <w:ind w:firstLine="480" w:firstLineChars="200"/>
        <w:rPr>
          <w:color w:val="000000"/>
          <w:sz w:val="24"/>
        </w:rPr>
      </w:pPr>
      <w:r>
        <w:rPr>
          <w:color w:val="000000"/>
          <w:sz w:val="24"/>
        </w:rPr>
        <w:fldChar w:fldCharType="begin"/>
      </w:r>
      <w:r>
        <w:rPr>
          <w:color w:val="000000"/>
          <w:sz w:val="24"/>
        </w:rPr>
        <w:instrText xml:space="preserve"> = 6 \* GB3 \* MERGEFORMAT </w:instrText>
      </w:r>
      <w:r>
        <w:rPr>
          <w:color w:val="000000"/>
          <w:sz w:val="24"/>
        </w:rPr>
        <w:fldChar w:fldCharType="separate"/>
      </w:r>
      <w:r>
        <w:rPr>
          <w:sz w:val="24"/>
        </w:rPr>
        <w:t>⑥</w:t>
      </w:r>
      <w:r>
        <w:rPr>
          <w:color w:val="000000"/>
          <w:sz w:val="24"/>
        </w:rPr>
        <w:fldChar w:fldCharType="end"/>
      </w:r>
      <w:r>
        <w:rPr>
          <w:color w:val="000000"/>
          <w:sz w:val="24"/>
        </w:rPr>
        <w:t>协助总指挥做好事故报警、情况通报及事故处置工作；</w:t>
      </w:r>
    </w:p>
    <w:p>
      <w:pPr>
        <w:spacing w:line="360" w:lineRule="auto"/>
        <w:ind w:firstLine="480" w:firstLineChars="200"/>
        <w:rPr>
          <w:color w:val="000000"/>
          <w:sz w:val="24"/>
        </w:rPr>
      </w:pPr>
      <w:r>
        <w:rPr>
          <w:color w:val="000000"/>
          <w:sz w:val="24"/>
        </w:rPr>
        <w:fldChar w:fldCharType="begin"/>
      </w:r>
      <w:r>
        <w:rPr>
          <w:color w:val="000000"/>
          <w:sz w:val="24"/>
        </w:rPr>
        <w:instrText xml:space="preserve"> = 7 \* GB3 \* MERGEFORMAT </w:instrText>
      </w:r>
      <w:r>
        <w:rPr>
          <w:color w:val="000000"/>
          <w:sz w:val="24"/>
        </w:rPr>
        <w:fldChar w:fldCharType="separate"/>
      </w:r>
      <w:r>
        <w:rPr>
          <w:sz w:val="24"/>
        </w:rPr>
        <w:t>⑦</w:t>
      </w:r>
      <w:r>
        <w:rPr>
          <w:color w:val="000000"/>
          <w:sz w:val="24"/>
        </w:rPr>
        <w:fldChar w:fldCharType="end"/>
      </w:r>
      <w:r>
        <w:rPr>
          <w:color w:val="000000"/>
          <w:sz w:val="24"/>
        </w:rPr>
        <w:t>负责现场中毒、受伤人员分类抢救和护送工作；</w:t>
      </w:r>
    </w:p>
    <w:p>
      <w:pPr>
        <w:pStyle w:val="23"/>
        <w:widowControl w:val="0"/>
        <w:spacing w:beforeAutospacing="0" w:afterAutospacing="0"/>
        <w:rPr>
          <w:rFonts w:hint="default" w:ascii="Times New Roman" w:hAnsi="Times New Roman"/>
        </w:rPr>
      </w:pPr>
      <w:r>
        <w:rPr>
          <w:rFonts w:hint="default" w:ascii="Times New Roman" w:hAnsi="Times New Roman"/>
        </w:rPr>
        <w:t>加油站全体员工都负有事故应急救援的责任，为事故应急救援骨干力量，承担各类事故救援及处置。</w:t>
      </w:r>
    </w:p>
    <w:p>
      <w:r>
        <w:br w:type="page"/>
      </w:r>
    </w:p>
    <w:p>
      <w:pPr>
        <w:autoSpaceDE w:val="0"/>
        <w:autoSpaceDN w:val="0"/>
        <w:adjustRightInd w:val="0"/>
        <w:snapToGrid w:val="0"/>
        <w:spacing w:beforeLines="100" w:afterLines="50" w:line="360" w:lineRule="auto"/>
        <w:jc w:val="center"/>
        <w:outlineLvl w:val="0"/>
        <w:rPr>
          <w:b/>
          <w:bCs/>
          <w:sz w:val="30"/>
          <w:szCs w:val="30"/>
        </w:rPr>
      </w:pPr>
      <w:bookmarkStart w:id="57" w:name="_Toc11434"/>
      <w:r>
        <w:rPr>
          <w:b/>
          <w:bCs/>
          <w:sz w:val="30"/>
          <w:szCs w:val="30"/>
        </w:rPr>
        <w:t>4、突发环境事件及其后果分析</w:t>
      </w:r>
      <w:bookmarkEnd w:id="57"/>
    </w:p>
    <w:p>
      <w:pPr>
        <w:autoSpaceDE w:val="0"/>
        <w:autoSpaceDN w:val="0"/>
        <w:adjustRightInd w:val="0"/>
        <w:snapToGrid w:val="0"/>
        <w:spacing w:beforeLines="100" w:afterLines="50" w:line="360" w:lineRule="auto"/>
        <w:jc w:val="left"/>
        <w:outlineLvl w:val="0"/>
        <w:rPr>
          <w:b/>
          <w:bCs/>
          <w:sz w:val="24"/>
        </w:rPr>
      </w:pPr>
      <w:bookmarkStart w:id="58" w:name="_Toc2390"/>
      <w:r>
        <w:rPr>
          <w:b/>
          <w:bCs/>
          <w:sz w:val="24"/>
        </w:rPr>
        <w:t>4.1 突发环境事件情景分析</w:t>
      </w:r>
      <w:bookmarkEnd w:id="58"/>
    </w:p>
    <w:p>
      <w:pPr>
        <w:autoSpaceDE w:val="0"/>
        <w:autoSpaceDN w:val="0"/>
        <w:adjustRightInd w:val="0"/>
        <w:snapToGrid w:val="0"/>
        <w:spacing w:beforeLines="100" w:afterLines="50" w:line="360" w:lineRule="auto"/>
        <w:jc w:val="left"/>
        <w:rPr>
          <w:b/>
          <w:bCs/>
          <w:sz w:val="24"/>
        </w:rPr>
      </w:pPr>
      <w:r>
        <w:rPr>
          <w:b/>
          <w:bCs/>
          <w:sz w:val="24"/>
        </w:rPr>
        <w:t>案例</w:t>
      </w:r>
      <w:r>
        <w:rPr>
          <w:rFonts w:hint="eastAsia"/>
          <w:b/>
          <w:bCs/>
          <w:sz w:val="24"/>
        </w:rPr>
        <w:t>一</w:t>
      </w:r>
      <w:r>
        <w:rPr>
          <w:b/>
          <w:bCs/>
          <w:sz w:val="24"/>
        </w:rPr>
        <w:t>：</w:t>
      </w:r>
      <w:r>
        <w:rPr>
          <w:rFonts w:hint="eastAsia"/>
          <w:b/>
          <w:bCs/>
          <w:sz w:val="24"/>
        </w:rPr>
        <w:t>上海市</w:t>
      </w:r>
      <w:r>
        <w:rPr>
          <w:b/>
          <w:bCs/>
          <w:sz w:val="24"/>
        </w:rPr>
        <w:t>杨高南路浦三路口加油站</w:t>
      </w:r>
      <w:r>
        <w:rPr>
          <w:rFonts w:hint="eastAsia"/>
          <w:b/>
          <w:bCs/>
          <w:sz w:val="24"/>
        </w:rPr>
        <w:t>发生</w:t>
      </w:r>
      <w:r>
        <w:rPr>
          <w:b/>
          <w:bCs/>
          <w:sz w:val="24"/>
        </w:rPr>
        <w:t>火灾爆炸事故</w:t>
      </w:r>
    </w:p>
    <w:p>
      <w:pPr>
        <w:pStyle w:val="23"/>
        <w:widowControl w:val="0"/>
        <w:spacing w:beforeAutospacing="0" w:afterAutospacing="0"/>
        <w:ind w:firstLine="482"/>
        <w:rPr>
          <w:rFonts w:hint="default" w:ascii="Times New Roman" w:hAnsi="Times New Roman"/>
          <w:b/>
          <w:bCs/>
        </w:rPr>
      </w:pPr>
      <w:r>
        <w:rPr>
          <w:rFonts w:ascii="Times New Roman" w:hAnsi="Times New Roman"/>
          <w:b/>
          <w:bCs/>
        </w:rPr>
        <w:t>事故概况：</w:t>
      </w:r>
    </w:p>
    <w:p>
      <w:pPr>
        <w:pStyle w:val="23"/>
        <w:widowControl w:val="0"/>
        <w:spacing w:beforeAutospacing="0" w:afterAutospacing="0"/>
        <w:ind w:firstLine="420"/>
        <w:rPr>
          <w:rFonts w:hint="default" w:ascii="Times New Roman" w:hAnsi="Times New Roman"/>
        </w:rPr>
      </w:pPr>
      <w:r>
        <w:rPr>
          <w:rFonts w:ascii="Times New Roman" w:hAnsi="Times New Roman"/>
        </w:rPr>
        <w:t>2007</w:t>
      </w:r>
      <w:r>
        <w:rPr>
          <w:rFonts w:ascii="Calibri" w:hAnsi="Calibri" w:eastAsia="Tahoma" w:cs="Calibri"/>
          <w:color w:val="000000"/>
          <w:sz w:val="21"/>
          <w:szCs w:val="21"/>
          <w:shd w:val="clear" w:color="auto" w:fill="FFFFFF"/>
        </w:rPr>
        <w:t>年</w:t>
      </w:r>
      <w:r>
        <w:rPr>
          <w:rFonts w:hint="default" w:ascii="Times New Roman" w:hAnsi="Times New Roman"/>
        </w:rPr>
        <w:t>11</w:t>
      </w:r>
      <w:r>
        <w:rPr>
          <w:rFonts w:ascii="Times New Roman" w:hAnsi="Times New Roman"/>
        </w:rPr>
        <w:t>月</w:t>
      </w:r>
      <w:r>
        <w:rPr>
          <w:rFonts w:hint="default" w:ascii="Times New Roman" w:hAnsi="Times New Roman"/>
        </w:rPr>
        <w:t>24</w:t>
      </w:r>
      <w:r>
        <w:rPr>
          <w:rFonts w:ascii="Times New Roman" w:hAnsi="Times New Roman"/>
        </w:rPr>
        <w:t>日上午</w:t>
      </w:r>
      <w:r>
        <w:rPr>
          <w:rFonts w:hint="default" w:ascii="Times New Roman" w:hAnsi="Times New Roman"/>
        </w:rPr>
        <w:t>7</w:t>
      </w:r>
      <w:r>
        <w:rPr>
          <w:rFonts w:ascii="Times New Roman" w:hAnsi="Times New Roman"/>
        </w:rPr>
        <w:t>时</w:t>
      </w:r>
      <w:r>
        <w:rPr>
          <w:rFonts w:hint="default" w:ascii="Times New Roman" w:hAnsi="Times New Roman"/>
        </w:rPr>
        <w:t>50</w:t>
      </w:r>
      <w:r>
        <w:rPr>
          <w:rFonts w:ascii="Times New Roman" w:hAnsi="Times New Roman"/>
        </w:rPr>
        <w:t>分，上海市公安局</w:t>
      </w:r>
      <w:r>
        <w:rPr>
          <w:rFonts w:hint="default" w:ascii="Times New Roman" w:hAnsi="Times New Roman"/>
        </w:rPr>
        <w:t>110</w:t>
      </w:r>
      <w:r>
        <w:rPr>
          <w:rFonts w:ascii="Times New Roman" w:hAnsi="Times New Roman"/>
        </w:rPr>
        <w:t>指挥中心接报警：位于浦东杨高南路、浦三路口的一家正在维修施工的油气加注站发生爆炸。</w:t>
      </w:r>
      <w:r>
        <w:rPr>
          <w:rFonts w:hint="default" w:ascii="Times New Roman" w:hAnsi="Times New Roman"/>
        </w:rPr>
        <w:t> </w:t>
      </w:r>
      <w:r>
        <w:rPr>
          <w:rFonts w:ascii="Times New Roman" w:hAnsi="Times New Roman"/>
        </w:rPr>
        <w:t>据市公安局初步了解，发生事故的是位于浦三路</w:t>
      </w:r>
      <w:r>
        <w:rPr>
          <w:rFonts w:hint="default" w:ascii="Times New Roman" w:hAnsi="Times New Roman"/>
        </w:rPr>
        <w:t>909</w:t>
      </w:r>
      <w:r>
        <w:rPr>
          <w:rFonts w:ascii="Times New Roman" w:hAnsi="Times New Roman"/>
        </w:rPr>
        <w:t>号的一家汽油加注站，站内储气罐正在进行停业检修作业。施工中因操作不当发生爆炸事故，</w:t>
      </w:r>
      <w:r>
        <w:rPr>
          <w:rFonts w:hint="default" w:ascii="Times New Roman" w:hAnsi="Times New Roman"/>
        </w:rPr>
        <w:t>2</w:t>
      </w:r>
      <w:r>
        <w:rPr>
          <w:rFonts w:ascii="Times New Roman" w:hAnsi="Times New Roman"/>
        </w:rPr>
        <w:t>名正在施工的工人当场身亡，另有</w:t>
      </w:r>
      <w:r>
        <w:rPr>
          <w:rFonts w:hint="default" w:ascii="Times New Roman" w:hAnsi="Times New Roman"/>
        </w:rPr>
        <w:t>4</w:t>
      </w:r>
      <w:r>
        <w:rPr>
          <w:rFonts w:ascii="Times New Roman" w:hAnsi="Times New Roman"/>
        </w:rPr>
        <w:t>人重伤，在送往医院抢救后其中</w:t>
      </w:r>
      <w:r>
        <w:rPr>
          <w:rFonts w:hint="default" w:ascii="Times New Roman" w:hAnsi="Times New Roman"/>
        </w:rPr>
        <w:t>2</w:t>
      </w:r>
      <w:r>
        <w:rPr>
          <w:rFonts w:ascii="Times New Roman" w:hAnsi="Times New Roman"/>
        </w:rPr>
        <w:t>人死亡，事故造成多人受伤。</w:t>
      </w:r>
    </w:p>
    <w:p>
      <w:pPr>
        <w:pStyle w:val="23"/>
        <w:widowControl w:val="0"/>
        <w:spacing w:beforeAutospacing="0" w:afterAutospacing="0"/>
        <w:rPr>
          <w:rFonts w:hint="default" w:ascii="Times New Roman" w:hAnsi="Times New Roman"/>
        </w:rPr>
      </w:pPr>
      <w:r>
        <w:rPr>
          <w:rFonts w:ascii="Times New Roman" w:hAnsi="Times New Roman"/>
        </w:rPr>
        <w:t>爆炸发生时共有</w:t>
      </w:r>
      <w:r>
        <w:rPr>
          <w:rFonts w:hint="default" w:ascii="Times New Roman" w:hAnsi="Times New Roman"/>
        </w:rPr>
        <w:t>3</w:t>
      </w:r>
      <w:r>
        <w:rPr>
          <w:rFonts w:ascii="Times New Roman" w:hAnsi="Times New Roman"/>
        </w:rPr>
        <w:t>名男性工人参与储气罐检修作业。操作中施工人员需要对位于地面下的储气罐进行加压，但储罐罐内残留部分油气，加上施工人员加压过度储气罐遂发生爆炸。爆炸造成</w:t>
      </w:r>
      <w:r>
        <w:rPr>
          <w:rFonts w:hint="default" w:ascii="Times New Roman" w:hAnsi="Times New Roman"/>
        </w:rPr>
        <w:t>30</w:t>
      </w:r>
      <w:r>
        <w:rPr>
          <w:rFonts w:ascii="Times New Roman" w:hAnsi="Times New Roman"/>
        </w:rPr>
        <w:t>岁的甘某和</w:t>
      </w:r>
      <w:r>
        <w:rPr>
          <w:rFonts w:hint="default" w:ascii="Times New Roman" w:hAnsi="Times New Roman"/>
        </w:rPr>
        <w:t>46</w:t>
      </w:r>
      <w:r>
        <w:rPr>
          <w:rFonts w:ascii="Times New Roman" w:hAnsi="Times New Roman"/>
        </w:rPr>
        <w:t>岁的朱某不幸身亡，另一名工人在爆炸中幸运身还。</w:t>
      </w:r>
    </w:p>
    <w:p>
      <w:pPr>
        <w:pStyle w:val="23"/>
        <w:widowControl w:val="0"/>
        <w:spacing w:beforeAutospacing="0" w:afterAutospacing="0"/>
        <w:rPr>
          <w:rFonts w:hint="default" w:ascii="Times New Roman" w:hAnsi="Times New Roman"/>
        </w:rPr>
      </w:pPr>
      <w:r>
        <w:rPr>
          <w:rFonts w:ascii="Times New Roman" w:hAnsi="Times New Roman"/>
        </w:rPr>
        <w:t>组织施工方是上海申能集团所属上海燃气（集团）有限公司旗下的太平洋燃气有限公司。从</w:t>
      </w:r>
      <w:r>
        <w:rPr>
          <w:rFonts w:hint="default" w:ascii="Times New Roman" w:hAnsi="Times New Roman"/>
        </w:rPr>
        <w:t>11</w:t>
      </w:r>
      <w:r>
        <w:rPr>
          <w:rFonts w:ascii="Times New Roman" w:hAnsi="Times New Roman"/>
        </w:rPr>
        <w:t>月</w:t>
      </w:r>
      <w:r>
        <w:rPr>
          <w:rFonts w:hint="default" w:ascii="Times New Roman" w:hAnsi="Times New Roman"/>
        </w:rPr>
        <w:t>11</w:t>
      </w:r>
      <w:r>
        <w:rPr>
          <w:rFonts w:ascii="Times New Roman" w:hAnsi="Times New Roman"/>
        </w:rPr>
        <w:t>日起，太平洋燃气有限公司负责对这个加油站进行停业检修。事发现场附近还有</w:t>
      </w:r>
      <w:r>
        <w:rPr>
          <w:rFonts w:hint="default" w:ascii="Times New Roman" w:hAnsi="Times New Roman"/>
        </w:rPr>
        <w:t>2</w:t>
      </w:r>
      <w:r>
        <w:rPr>
          <w:rFonts w:ascii="Times New Roman" w:hAnsi="Times New Roman"/>
        </w:rPr>
        <w:t>人因爆炸受重伤，在送往医院抢救后不治身亡，他们分别是</w:t>
      </w:r>
      <w:r>
        <w:rPr>
          <w:rFonts w:hint="default" w:ascii="Times New Roman" w:hAnsi="Times New Roman"/>
        </w:rPr>
        <w:t>29</w:t>
      </w:r>
      <w:r>
        <w:rPr>
          <w:rFonts w:ascii="Times New Roman" w:hAnsi="Times New Roman"/>
        </w:rPr>
        <w:t>岁的男性王某和</w:t>
      </w:r>
      <w:r>
        <w:rPr>
          <w:rFonts w:hint="default" w:ascii="Times New Roman" w:hAnsi="Times New Roman"/>
        </w:rPr>
        <w:t>42</w:t>
      </w:r>
      <w:r>
        <w:rPr>
          <w:rFonts w:ascii="Times New Roman" w:hAnsi="Times New Roman"/>
        </w:rPr>
        <w:t>岁的女性陕某，当时，王某驾驶摩托车停在附近，陕某则在</w:t>
      </w:r>
      <w:r>
        <w:rPr>
          <w:rFonts w:hint="default" w:ascii="Times New Roman" w:hAnsi="Times New Roman"/>
        </w:rPr>
        <w:t>500m</w:t>
      </w:r>
      <w:r>
        <w:rPr>
          <w:rFonts w:ascii="Times New Roman" w:hAnsi="Times New Roman"/>
        </w:rPr>
        <w:t>外的昌里东路上骑自行车。</w:t>
      </w:r>
    </w:p>
    <w:p>
      <w:pPr>
        <w:pStyle w:val="23"/>
        <w:widowControl w:val="0"/>
        <w:spacing w:beforeAutospacing="0" w:afterAutospacing="0"/>
        <w:rPr>
          <w:rFonts w:hint="default" w:ascii="Times New Roman" w:hAnsi="Times New Roman"/>
        </w:rPr>
      </w:pPr>
      <w:r>
        <w:rPr>
          <w:rFonts w:ascii="Times New Roman" w:hAnsi="Times New Roman"/>
        </w:rPr>
        <w:t>另据核实，事故发生后，共有</w:t>
      </w:r>
      <w:r>
        <w:rPr>
          <w:rFonts w:hint="default" w:ascii="Times New Roman" w:hAnsi="Times New Roman"/>
        </w:rPr>
        <w:t>32</w:t>
      </w:r>
      <w:r>
        <w:rPr>
          <w:rFonts w:ascii="Times New Roman" w:hAnsi="Times New Roman"/>
        </w:rPr>
        <w:t>名居民、行人被送往上海浦南医院、仁济医院浦东分院治疗，除</w:t>
      </w:r>
      <w:r>
        <w:rPr>
          <w:rFonts w:hint="default" w:ascii="Times New Roman" w:hAnsi="Times New Roman"/>
        </w:rPr>
        <w:t>2</w:t>
      </w:r>
      <w:r>
        <w:rPr>
          <w:rFonts w:ascii="Times New Roman" w:hAnsi="Times New Roman"/>
        </w:rPr>
        <w:t>名送到医院后死亡的重伤者外，其余</w:t>
      </w:r>
      <w:r>
        <w:rPr>
          <w:rFonts w:hint="default" w:ascii="Times New Roman" w:hAnsi="Times New Roman"/>
        </w:rPr>
        <w:t>30</w:t>
      </w:r>
      <w:r>
        <w:rPr>
          <w:rFonts w:ascii="Times New Roman" w:hAnsi="Times New Roman"/>
        </w:rPr>
        <w:t>人中，</w:t>
      </w:r>
      <w:r>
        <w:rPr>
          <w:rFonts w:hint="default" w:ascii="Times New Roman" w:hAnsi="Times New Roman"/>
        </w:rPr>
        <w:t>10</w:t>
      </w:r>
      <w:r>
        <w:rPr>
          <w:rFonts w:ascii="Times New Roman" w:hAnsi="Times New Roman"/>
        </w:rPr>
        <w:t>多人经简单处理当即出院，还有</w:t>
      </w:r>
      <w:r>
        <w:rPr>
          <w:rFonts w:hint="default" w:ascii="Times New Roman" w:hAnsi="Times New Roman"/>
        </w:rPr>
        <w:t>10</w:t>
      </w:r>
      <w:r>
        <w:rPr>
          <w:rFonts w:ascii="Times New Roman" w:hAnsi="Times New Roman"/>
        </w:rPr>
        <w:t>多人留在医院接受治疗后，于当天下午出院。至</w:t>
      </w:r>
      <w:r>
        <w:rPr>
          <w:rFonts w:hint="default" w:ascii="Times New Roman" w:hAnsi="Times New Roman"/>
        </w:rPr>
        <w:t>25</w:t>
      </w:r>
      <w:r>
        <w:rPr>
          <w:rFonts w:ascii="Times New Roman" w:hAnsi="Times New Roman"/>
        </w:rPr>
        <w:t>日中午，尚有</w:t>
      </w:r>
      <w:r>
        <w:rPr>
          <w:rFonts w:hint="default" w:ascii="Times New Roman" w:hAnsi="Times New Roman"/>
        </w:rPr>
        <w:t>2</w:t>
      </w:r>
      <w:r>
        <w:rPr>
          <w:rFonts w:ascii="Times New Roman" w:hAnsi="Times New Roman"/>
        </w:rPr>
        <w:t>名伤势较重者仍留院观察治疗，但无生命危险。</w:t>
      </w:r>
    </w:p>
    <w:p>
      <w:pPr>
        <w:pStyle w:val="23"/>
        <w:widowControl w:val="0"/>
        <w:spacing w:beforeAutospacing="0" w:afterAutospacing="0"/>
        <w:ind w:firstLine="482"/>
        <w:rPr>
          <w:rFonts w:hint="default" w:ascii="Times New Roman" w:hAnsi="Times New Roman"/>
          <w:b/>
          <w:bCs/>
        </w:rPr>
      </w:pPr>
      <w:r>
        <w:rPr>
          <w:rFonts w:ascii="Times New Roman" w:hAnsi="Times New Roman"/>
          <w:b/>
          <w:bCs/>
        </w:rPr>
        <w:t>事故原因分析：</w:t>
      </w:r>
    </w:p>
    <w:p>
      <w:pPr>
        <w:pStyle w:val="23"/>
        <w:widowControl w:val="0"/>
        <w:spacing w:beforeAutospacing="0" w:afterAutospacing="0"/>
        <w:rPr>
          <w:rFonts w:hint="default" w:ascii="Times New Roman" w:hAnsi="Times New Roman"/>
        </w:rPr>
      </w:pPr>
      <w:r>
        <w:rPr>
          <w:rFonts w:ascii="Times New Roman" w:hAnsi="Times New Roman"/>
        </w:rPr>
        <w:t>1、直接原因</w:t>
      </w:r>
    </w:p>
    <w:p>
      <w:pPr>
        <w:pStyle w:val="23"/>
        <w:widowControl w:val="0"/>
        <w:spacing w:beforeAutospacing="0" w:afterAutospacing="0"/>
        <w:rPr>
          <w:rFonts w:hint="default" w:ascii="Times New Roman" w:hAnsi="Times New Roman"/>
        </w:rPr>
      </w:pPr>
      <w:r>
        <w:rPr>
          <w:rFonts w:ascii="Times New Roman" w:hAnsi="Times New Roman"/>
        </w:rPr>
        <w:t>施工人员违规操作是本次事故的直接原因。</w:t>
      </w:r>
    </w:p>
    <w:p>
      <w:pPr>
        <w:pStyle w:val="23"/>
        <w:widowControl w:val="0"/>
        <w:spacing w:beforeAutospacing="0" w:afterAutospacing="0"/>
        <w:rPr>
          <w:rFonts w:hint="default" w:ascii="Times New Roman" w:hAnsi="Times New Roman"/>
        </w:rPr>
      </w:pPr>
      <w:r>
        <w:rPr>
          <w:rFonts w:ascii="Times New Roman" w:hAnsi="Times New Roman"/>
        </w:rPr>
        <w:t>根据事故调查组的认定，事故是由于施工人员违章作业造成的。爆炸时，由于储气罐上方是混凝土地面，爆炸导致碎裂的石块飞出，夹着钢筋的石块飞到数百米开外，“石雨”直接造成伤亡。</w:t>
      </w:r>
    </w:p>
    <w:p>
      <w:pPr>
        <w:pStyle w:val="23"/>
        <w:widowControl w:val="0"/>
        <w:spacing w:beforeAutospacing="0" w:afterAutospacing="0"/>
        <w:rPr>
          <w:rFonts w:hint="default" w:ascii="Times New Roman" w:hAnsi="Times New Roman"/>
        </w:rPr>
      </w:pPr>
      <w:r>
        <w:rPr>
          <w:rFonts w:ascii="Times New Roman" w:hAnsi="Times New Roman"/>
        </w:rPr>
        <w:t>2、管理原因</w:t>
      </w:r>
    </w:p>
    <w:p>
      <w:pPr>
        <w:pStyle w:val="23"/>
        <w:widowControl w:val="0"/>
        <w:spacing w:beforeAutospacing="0" w:afterAutospacing="0"/>
        <w:rPr>
          <w:rFonts w:hint="default" w:ascii="Times New Roman" w:hAnsi="Times New Roman"/>
        </w:rPr>
      </w:pPr>
      <w:r>
        <w:rPr>
          <w:rFonts w:ascii="Times New Roman" w:hAnsi="Times New Roman"/>
        </w:rPr>
        <w:t>加油站进行维修、装潢等作业，都有严格的规范和操作规程，不应该在维修期间储存任何油气。加油站要进行维修、装修，最关键的就是在这段时间内，确保地下及地面储油和储气的罐内，不能有一点点的残留油气，同时应该向油罐内注水并通过仪器测量达到安全值才行。此外，加油站毕竟属于危险品经营场所，就算没有油气，使用电焊、敲打钢筋等都应该格外小心，并有专人监督把关。</w:t>
      </w:r>
    </w:p>
    <w:p>
      <w:pPr>
        <w:pStyle w:val="23"/>
        <w:widowControl w:val="0"/>
        <w:spacing w:beforeAutospacing="0" w:afterAutospacing="0"/>
        <w:rPr>
          <w:rFonts w:hint="default" w:ascii="Times New Roman" w:hAnsi="Times New Roman"/>
        </w:rPr>
      </w:pPr>
      <w:r>
        <w:rPr>
          <w:rFonts w:ascii="Times New Roman" w:hAnsi="Times New Roman"/>
        </w:rPr>
        <w:t>尽管上海绝大部分运营中的加油站安全防范措施到位，但一些司机的不良习惯却成了隐患。在上海的多家加油站都可以看到，虽然加油站有明显标示，进站前须关闭手机，但半小时内看到至少有</w:t>
      </w:r>
      <w:r>
        <w:rPr>
          <w:rFonts w:hint="default" w:ascii="Times New Roman" w:hAnsi="Times New Roman"/>
        </w:rPr>
        <w:t>5</w:t>
      </w:r>
      <w:r>
        <w:rPr>
          <w:rFonts w:ascii="Times New Roman" w:hAnsi="Times New Roman"/>
        </w:rPr>
        <w:t>人在加油站内打手机。平时难得看到有人在加油站里抽烟，上前制止也多听劝，但劝导他们别打手机却多次遭到责骂。手机正常待机时内部电流只有</w:t>
      </w:r>
      <w:r>
        <w:rPr>
          <w:rFonts w:hint="default" w:ascii="Times New Roman" w:hAnsi="Times New Roman"/>
        </w:rPr>
        <w:t>10mA</w:t>
      </w:r>
      <w:r>
        <w:rPr>
          <w:rFonts w:ascii="Times New Roman" w:hAnsi="Times New Roman"/>
        </w:rPr>
        <w:t>左右，但当天线搜索到来电信号后，射频、背景灯、听筒等电路立即启动，即使不接听，手机内部电流也会瞬间加大到</w:t>
      </w:r>
      <w:r>
        <w:rPr>
          <w:rFonts w:hint="default" w:ascii="Times New Roman" w:hAnsi="Times New Roman"/>
        </w:rPr>
        <w:t>2.5~3A</w:t>
      </w:r>
      <w:r>
        <w:rPr>
          <w:rFonts w:ascii="Times New Roman" w:hAnsi="Times New Roman"/>
        </w:rPr>
        <w:t>，并可能产生火花。</w:t>
      </w:r>
    </w:p>
    <w:p>
      <w:pPr>
        <w:pStyle w:val="23"/>
        <w:widowControl w:val="0"/>
        <w:spacing w:beforeAutospacing="0" w:afterAutospacing="0"/>
        <w:rPr>
          <w:rFonts w:hint="default" w:ascii="Times New Roman" w:hAnsi="Times New Roman"/>
        </w:rPr>
      </w:pPr>
      <w:r>
        <w:rPr>
          <w:rFonts w:ascii="Times New Roman" w:hAnsi="Times New Roman"/>
        </w:rPr>
        <w:t>与此同时，那些进站加气、加油的摩托车和燃气助燃助动车的不规范操作，也给加油站带来了很大的隐患。人们经常看到，前来加油的车辆排队时，部分车辆根本不熄火。同时，也没有发现有工作人员出来劝阻。此外，为了出入方便，大多数加油站都建在十字路口，于是就有一些车辆贪图方便，“抄近道”从加油站通行，疾驰而过的闲杂车辆，也给加油站带来了安全隐患。据了解，发生爆炸的那家加油站也经常有过往车辆借道。而在事故发生前一天当地媒体点名批评过。</w:t>
      </w:r>
    </w:p>
    <w:p>
      <w:pPr>
        <w:pStyle w:val="23"/>
        <w:widowControl w:val="0"/>
        <w:spacing w:beforeAutospacing="0" w:afterAutospacing="0"/>
        <w:ind w:firstLine="482"/>
        <w:rPr>
          <w:rFonts w:hint="default" w:ascii="Times New Roman" w:hAnsi="Times New Roman"/>
          <w:b/>
          <w:bCs/>
        </w:rPr>
      </w:pPr>
      <w:r>
        <w:rPr>
          <w:rFonts w:ascii="Times New Roman" w:hAnsi="Times New Roman"/>
          <w:b/>
          <w:bCs/>
        </w:rPr>
        <w:t>事故教训：</w:t>
      </w:r>
    </w:p>
    <w:p>
      <w:pPr>
        <w:pStyle w:val="23"/>
        <w:widowControl w:val="0"/>
        <w:spacing w:beforeAutospacing="0" w:afterAutospacing="0"/>
        <w:rPr>
          <w:rFonts w:hint="default" w:ascii="Times New Roman" w:hAnsi="Times New Roman"/>
        </w:rPr>
      </w:pPr>
      <w:r>
        <w:rPr>
          <w:rFonts w:ascii="Times New Roman" w:hAnsi="Times New Roman"/>
        </w:rPr>
        <w:t>1、强化监督管理，规范管理</w:t>
      </w:r>
    </w:p>
    <w:p>
      <w:pPr>
        <w:pStyle w:val="23"/>
        <w:widowControl w:val="0"/>
        <w:spacing w:beforeAutospacing="0" w:afterAutospacing="0"/>
        <w:rPr>
          <w:rFonts w:hint="default" w:ascii="Times New Roman" w:hAnsi="Times New Roman"/>
        </w:rPr>
      </w:pPr>
      <w:r>
        <w:rPr>
          <w:rFonts w:ascii="Times New Roman" w:hAnsi="Times New Roman"/>
        </w:rPr>
        <w:t>加油站常年收发储存危险化学品，且为开放式频繁作业，动态的危险因素多，特别是昼夜服务的用户（人）、车辆（物）的安全可靠性变化较大。加油站的安全管理，应当建立和坚持有效的监督检查机制，保持经营过程中设施、设备、人员、车辆、环境的正常状态，及时消除不安全因素，加油站站长是本站安全管理的第一责任人，应当认真坚持“安全第一，预防为主，综合治理”的方针，坚持贯彻执行各项规章制度，规范加油站经营的各项活动。加油站员工，应当坚持执行各项规定，认真履行岗位职责，严格按章办事，规范操作。杜绝违章作业、违章指挥、违反纪律，确保经营安全。</w:t>
      </w:r>
    </w:p>
    <w:p>
      <w:pPr>
        <w:pStyle w:val="23"/>
        <w:widowControl w:val="0"/>
        <w:spacing w:beforeAutospacing="0" w:afterAutospacing="0"/>
        <w:rPr>
          <w:rFonts w:hint="default" w:ascii="Times New Roman" w:hAnsi="Times New Roman"/>
        </w:rPr>
      </w:pPr>
      <w:r>
        <w:rPr>
          <w:rFonts w:ascii="Times New Roman" w:hAnsi="Times New Roman"/>
        </w:rPr>
        <w:t>2、规范从业人员上岗资格的培训管理</w:t>
      </w:r>
    </w:p>
    <w:p>
      <w:pPr>
        <w:pStyle w:val="23"/>
        <w:widowControl w:val="0"/>
        <w:spacing w:beforeAutospacing="0" w:afterAutospacing="0"/>
        <w:rPr>
          <w:rFonts w:hint="default" w:ascii="Times New Roman" w:hAnsi="Times New Roman"/>
        </w:rPr>
      </w:pPr>
      <w:r>
        <w:rPr>
          <w:rFonts w:ascii="Times New Roman" w:hAnsi="Times New Roman"/>
        </w:rPr>
        <w:t>从业人员接受安全培训，是取得上岗资格的前提。员工培训资料的系统和完整，是确认员工的专业素质、上岗任职资格的重要证明。加油站按现行人力管理模式，站间人员交流较为频繁。应当规范做好培训资料的传递、交接，以保持培训资料的连贯、系统、完整，为考核、聘任员工提供专业技能的依据。</w:t>
      </w:r>
    </w:p>
    <w:p>
      <w:pPr>
        <w:pStyle w:val="23"/>
        <w:widowControl w:val="0"/>
        <w:spacing w:beforeAutospacing="0" w:afterAutospacing="0"/>
        <w:rPr>
          <w:rFonts w:hint="default" w:ascii="Times New Roman" w:hAnsi="Times New Roman"/>
        </w:rPr>
      </w:pPr>
      <w:r>
        <w:rPr>
          <w:rFonts w:ascii="Times New Roman" w:hAnsi="Times New Roman"/>
        </w:rPr>
        <w:t>3、完善岗位操作规程</w:t>
      </w:r>
    </w:p>
    <w:p>
      <w:pPr>
        <w:pStyle w:val="23"/>
        <w:widowControl w:val="0"/>
        <w:spacing w:beforeAutospacing="0" w:afterAutospacing="0"/>
        <w:rPr>
          <w:rFonts w:hint="default" w:ascii="Times New Roman" w:hAnsi="Times New Roman"/>
        </w:rPr>
      </w:pPr>
      <w:r>
        <w:rPr>
          <w:rFonts w:ascii="Times New Roman" w:hAnsi="Times New Roman"/>
        </w:rPr>
        <w:t>岗位操作规程未达到按岗配齐，往往导致油站作业的某些操作无章可循，容易发生违章操作，是安全管理工作中的一个薄弱环节。</w:t>
      </w:r>
    </w:p>
    <w:p>
      <w:pPr>
        <w:pStyle w:val="23"/>
        <w:widowControl w:val="0"/>
        <w:spacing w:beforeAutospacing="0" w:afterAutospacing="0"/>
        <w:rPr>
          <w:rFonts w:hint="default" w:ascii="Times New Roman" w:hAnsi="Times New Roman"/>
        </w:rPr>
      </w:pPr>
      <w:r>
        <w:rPr>
          <w:rFonts w:ascii="Times New Roman" w:hAnsi="Times New Roman"/>
        </w:rPr>
        <w:t>设备进行例保例检，修理故障设备，是加油站一项经常性的工作。设备检修，往往涉及排除余油、临时用电、使用明火、装拆防爆器件等等。检修过程必须严格按章办事。确保管理到位，特别是在站内爆炸危险区域和火灾危险区域，需要使用明火时，必须事先按使用类型、级别报批，取得动火作业票，并按作业票的规定执行，严禁违章动火。设立临时电源，应当由专业电工按规定装拆，防止发生以外，确保检修安全。</w:t>
      </w:r>
    </w:p>
    <w:p>
      <w:pPr>
        <w:pStyle w:val="23"/>
        <w:widowControl w:val="0"/>
        <w:spacing w:beforeAutospacing="0" w:afterAutospacing="0"/>
        <w:rPr>
          <w:rFonts w:hint="default" w:ascii="Times New Roman" w:hAnsi="Times New Roman"/>
        </w:rPr>
      </w:pPr>
      <w:r>
        <w:rPr>
          <w:rFonts w:ascii="Times New Roman" w:hAnsi="Times New Roman"/>
        </w:rPr>
        <w:t>4、严防火灾爆炸事故</w:t>
      </w:r>
    </w:p>
    <w:p>
      <w:pPr>
        <w:pStyle w:val="23"/>
        <w:widowControl w:val="0"/>
        <w:spacing w:beforeAutospacing="0" w:afterAutospacing="0"/>
        <w:rPr>
          <w:rFonts w:hint="default" w:ascii="Times New Roman" w:hAnsi="Times New Roman"/>
        </w:rPr>
      </w:pPr>
      <w:r>
        <w:rPr>
          <w:rFonts w:ascii="Times New Roman" w:hAnsi="Times New Roman"/>
        </w:rPr>
        <w:t>石油成品油是易挥发、易燃、易产生静电的危险化学物品，具有显著的火灾危险特性。石油蒸汽和空气的混合气，在一定的浓度范围内能产生爆炸。加油站常年收发成品油，并保持一定储存量，而且是开放式频繁作业，操作方式、操作过程、经营设施中存在着较多的危险有害因素。特别是静电、油蒸汽等都是与作业过程始终相伴发生，极易触发火灾爆炸事故。因此，应强化安全检查，强化员工安全意识，不断提高员工的安全操作技能；及时整改各类事故隐患、管理缺陷；规范职工的操作行为；完善防范设施。</w:t>
      </w:r>
    </w:p>
    <w:p>
      <w:pPr>
        <w:autoSpaceDE w:val="0"/>
        <w:autoSpaceDN w:val="0"/>
        <w:adjustRightInd w:val="0"/>
        <w:snapToGrid w:val="0"/>
        <w:spacing w:beforeLines="100" w:afterLines="50" w:line="360" w:lineRule="auto"/>
        <w:jc w:val="left"/>
        <w:rPr>
          <w:b/>
          <w:bCs/>
          <w:sz w:val="24"/>
        </w:rPr>
      </w:pPr>
      <w:r>
        <w:rPr>
          <w:b/>
          <w:bCs/>
          <w:sz w:val="24"/>
        </w:rPr>
        <w:t>案例</w:t>
      </w:r>
      <w:r>
        <w:rPr>
          <w:rFonts w:hint="eastAsia"/>
          <w:b/>
          <w:bCs/>
          <w:sz w:val="24"/>
        </w:rPr>
        <w:t>二</w:t>
      </w:r>
      <w:r>
        <w:rPr>
          <w:b/>
          <w:bCs/>
          <w:sz w:val="24"/>
        </w:rPr>
        <w:t>：延吉市兴安加油站发生火灾爆炸事故</w:t>
      </w:r>
    </w:p>
    <w:p>
      <w:pPr>
        <w:pStyle w:val="23"/>
        <w:widowControl w:val="0"/>
        <w:spacing w:beforeAutospacing="0" w:afterAutospacing="0"/>
        <w:ind w:firstLine="482"/>
        <w:rPr>
          <w:rFonts w:hint="default" w:ascii="Times New Roman" w:hAnsi="Times New Roman"/>
          <w:b/>
          <w:bCs/>
        </w:rPr>
      </w:pPr>
      <w:r>
        <w:rPr>
          <w:rFonts w:hint="default" w:ascii="Times New Roman" w:hAnsi="Times New Roman"/>
          <w:b/>
          <w:bCs/>
        </w:rPr>
        <w:t>事故经过：</w:t>
      </w:r>
    </w:p>
    <w:p>
      <w:pPr>
        <w:pStyle w:val="23"/>
        <w:widowControl w:val="0"/>
        <w:spacing w:beforeAutospacing="0" w:afterAutospacing="0"/>
        <w:rPr>
          <w:rFonts w:hint="default" w:ascii="Times New Roman" w:hAnsi="Times New Roman"/>
        </w:rPr>
      </w:pPr>
      <w:r>
        <w:rPr>
          <w:rFonts w:ascii="Times New Roman" w:hAnsi="Times New Roman"/>
        </w:rPr>
        <w:t>2010年7月16日，位于辽宁省大连市保税区的大连中石油国际储运有限公司原油库输油管道发生爆炸，引起大火并造成大量原油泄漏，导致部分原油、管道和设备烧损，另有部分泄漏原油流入附件海域造成污染、事故造成一名施工人员死亡</w:t>
      </w:r>
    </w:p>
    <w:p>
      <w:pPr>
        <w:pStyle w:val="23"/>
        <w:widowControl w:val="0"/>
        <w:spacing w:beforeAutospacing="0" w:afterAutospacing="0"/>
        <w:ind w:firstLine="482"/>
        <w:rPr>
          <w:rFonts w:hint="default" w:ascii="Times New Roman" w:hAnsi="Times New Roman"/>
          <w:b/>
          <w:bCs/>
        </w:rPr>
      </w:pPr>
      <w:r>
        <w:rPr>
          <w:rFonts w:hint="default" w:ascii="Times New Roman" w:hAnsi="Times New Roman"/>
          <w:b/>
          <w:bCs/>
        </w:rPr>
        <w:t>事故原因：</w:t>
      </w:r>
    </w:p>
    <w:p>
      <w:pPr>
        <w:pStyle w:val="23"/>
        <w:widowControl w:val="0"/>
        <w:spacing w:beforeAutospacing="0" w:afterAutospacing="0"/>
        <w:rPr>
          <w:rFonts w:hint="default" w:ascii="Times New Roman" w:hAnsi="Times New Roman"/>
        </w:rPr>
      </w:pPr>
      <w:r>
        <w:rPr>
          <w:rFonts w:ascii="Times New Roman" w:hAnsi="Times New Roman"/>
        </w:rPr>
        <w:t>违规在原油库输油管道上进行加注“脱硫化氢剂”作业，并在油轮停止卸油的情况下继续加注，造成“脱硫化氢剂”在输油管道内局部富集，发生强氧化反应，导致输油管道发生爆炸，引起火灾和原油泄漏。</w:t>
      </w:r>
    </w:p>
    <w:p>
      <w:pPr>
        <w:pStyle w:val="23"/>
        <w:widowControl w:val="0"/>
        <w:spacing w:beforeAutospacing="0" w:afterAutospacing="0"/>
        <w:ind w:firstLine="482"/>
        <w:rPr>
          <w:rFonts w:hint="default" w:ascii="Times New Roman" w:hAnsi="Times New Roman"/>
          <w:b/>
          <w:bCs/>
        </w:rPr>
      </w:pPr>
      <w:r>
        <w:rPr>
          <w:rFonts w:hint="default" w:ascii="Times New Roman" w:hAnsi="Times New Roman"/>
          <w:b/>
          <w:bCs/>
        </w:rPr>
        <w:t>事故教训：</w:t>
      </w:r>
    </w:p>
    <w:p>
      <w:pPr>
        <w:pStyle w:val="23"/>
        <w:widowControl w:val="0"/>
        <w:spacing w:beforeAutospacing="0" w:afterAutospacing="0"/>
        <w:rPr>
          <w:rFonts w:hint="default" w:ascii="Times New Roman" w:hAnsi="Times New Roman"/>
        </w:rPr>
      </w:pPr>
      <w:r>
        <w:rPr>
          <w:rFonts w:hint="default" w:ascii="Times New Roman" w:hAnsi="Times New Roman"/>
        </w:rPr>
        <w:t>1、加油站应制定严格的管理制度、操作规程、岗位责任制，加油员应严格按照操作规程进行作业。</w:t>
      </w:r>
    </w:p>
    <w:p>
      <w:pPr>
        <w:pStyle w:val="23"/>
        <w:widowControl w:val="0"/>
        <w:spacing w:beforeAutospacing="0" w:afterAutospacing="0"/>
        <w:rPr>
          <w:rFonts w:hint="default" w:ascii="Times New Roman" w:hAnsi="Times New Roman"/>
        </w:rPr>
      </w:pPr>
      <w:r>
        <w:rPr>
          <w:rFonts w:ascii="Times New Roman" w:hAnsi="Times New Roman"/>
        </w:rPr>
        <w:t>2</w:t>
      </w:r>
      <w:r>
        <w:rPr>
          <w:rFonts w:hint="default" w:ascii="Times New Roman" w:hAnsi="Times New Roman"/>
        </w:rPr>
        <w:t>、加强安全学习，强化职工的安全意识，落实安全生产责任制和安全操作规程。</w:t>
      </w:r>
    </w:p>
    <w:p>
      <w:pPr>
        <w:pStyle w:val="23"/>
        <w:widowControl w:val="0"/>
        <w:spacing w:beforeAutospacing="0" w:afterAutospacing="0"/>
        <w:ind w:firstLine="0" w:firstLineChars="0"/>
        <w:rPr>
          <w:rFonts w:hint="default" w:ascii="Times New Roman" w:hAnsi="Times New Roman"/>
          <w:b/>
          <w:bCs/>
          <w:kern w:val="2"/>
        </w:rPr>
      </w:pPr>
      <w:r>
        <w:rPr>
          <w:b/>
          <w:bCs/>
        </w:rPr>
        <w:t>案例三：</w:t>
      </w:r>
      <w:r>
        <w:rPr>
          <w:rFonts w:ascii="Times New Roman" w:hAnsi="Times New Roman"/>
          <w:b/>
          <w:bCs/>
          <w:kern w:val="2"/>
        </w:rPr>
        <w:t>1·12河北廊坊加油站爆炸事故</w:t>
      </w:r>
    </w:p>
    <w:p>
      <w:pPr>
        <w:pStyle w:val="23"/>
        <w:widowControl w:val="0"/>
        <w:spacing w:beforeAutospacing="0" w:afterAutospacing="0"/>
        <w:ind w:firstLine="482"/>
        <w:rPr>
          <w:rFonts w:hint="default" w:ascii="Times New Roman" w:hAnsi="Times New Roman"/>
        </w:rPr>
      </w:pPr>
      <w:r>
        <w:rPr>
          <w:rFonts w:hint="default" w:ascii="Times New Roman" w:hAnsi="Times New Roman"/>
          <w:b/>
          <w:bCs/>
        </w:rPr>
        <w:t>事故经过：</w:t>
      </w:r>
      <w:r>
        <w:rPr>
          <w:rFonts w:ascii="Times New Roman" w:hAnsi="Times New Roman"/>
        </w:rPr>
        <w:t>2011年1月12日16时45分许，河北省廊坊市和平路一中石化加油站发生起火爆炸事故。廊坊市官方称，事故未造成人员伤亡，起火原因为油罐车卸油后，静电火花引发起火爆炸。</w:t>
      </w:r>
    </w:p>
    <w:p>
      <w:pPr>
        <w:pStyle w:val="23"/>
        <w:widowControl w:val="0"/>
        <w:spacing w:beforeAutospacing="0" w:afterAutospacing="0"/>
        <w:ind w:firstLine="482"/>
        <w:rPr>
          <w:rFonts w:hint="default" w:ascii="Times New Roman" w:hAnsi="Times New Roman"/>
          <w:b/>
          <w:bCs/>
        </w:rPr>
      </w:pPr>
      <w:r>
        <w:rPr>
          <w:rFonts w:hint="default" w:ascii="Times New Roman" w:hAnsi="Times New Roman"/>
          <w:b/>
          <w:bCs/>
        </w:rPr>
        <w:t>事故原因：</w:t>
      </w:r>
    </w:p>
    <w:p>
      <w:pPr>
        <w:pStyle w:val="23"/>
        <w:widowControl w:val="0"/>
        <w:spacing w:beforeAutospacing="0" w:afterAutospacing="0"/>
        <w:rPr>
          <w:rFonts w:hint="default" w:ascii="Times New Roman" w:hAnsi="Times New Roman"/>
        </w:rPr>
      </w:pPr>
      <w:r>
        <w:rPr>
          <w:rFonts w:ascii="Times New Roman" w:hAnsi="Times New Roman"/>
        </w:rPr>
        <w:t>起火原因为油罐车卸油后，静电火花引发。</w:t>
      </w:r>
    </w:p>
    <w:p>
      <w:pPr>
        <w:pStyle w:val="23"/>
        <w:widowControl w:val="0"/>
        <w:spacing w:beforeAutospacing="0" w:afterAutospacing="0"/>
        <w:ind w:firstLine="482"/>
        <w:rPr>
          <w:rFonts w:hint="default" w:ascii="Times New Roman" w:hAnsi="Times New Roman"/>
          <w:b/>
          <w:bCs/>
        </w:rPr>
      </w:pPr>
      <w:r>
        <w:rPr>
          <w:rFonts w:hint="default" w:ascii="Times New Roman" w:hAnsi="Times New Roman"/>
          <w:b/>
          <w:bCs/>
        </w:rPr>
        <w:t>事故教训：</w:t>
      </w:r>
    </w:p>
    <w:p>
      <w:pPr>
        <w:pStyle w:val="23"/>
        <w:widowControl w:val="0"/>
        <w:spacing w:beforeAutospacing="0" w:afterAutospacing="0"/>
        <w:rPr>
          <w:rFonts w:hint="default" w:ascii="Times New Roman" w:hAnsi="Times New Roman"/>
        </w:rPr>
      </w:pPr>
      <w:r>
        <w:rPr>
          <w:rFonts w:ascii="Times New Roman" w:hAnsi="Times New Roman"/>
        </w:rPr>
        <w:t>卸油操作时一定要防止油气外泄，并防止有明火，同时防止静电的积聚，卸油作业时要做好以下几点：一是操作人员必须穿戴好防静电护具。油罐车卸油前要按装好防静电夹钳。二是通过液位或人工计量检测确认所卸油品的空容量；防止跑、冒油事故发生。三是采用密封卸油，按工艺要求连接接卸油管；同时暂停加油作业。四是司机缓慢开启罐车卸油阀，卸油员集中精力监视卸油全过程，随时处理突发的问题；卸车司机不得远离现场。五是卸油完毕，卸油员登上罐车检查确认油品卸净，关好油罐阀门，使油罐处于密闭状态。罐车司机应关好罐车所有阀们及帽口，使罐车出于密封状态。六是引导油灌车离站。七是罐内油品静止10分钟后，方可通知加油员开机加油。</w:t>
      </w:r>
    </w:p>
    <w:p>
      <w:pPr>
        <w:pStyle w:val="23"/>
        <w:widowControl w:val="0"/>
        <w:spacing w:beforeAutospacing="0" w:afterAutospacing="0"/>
        <w:rPr>
          <w:rFonts w:hint="default" w:ascii="Times New Roman" w:hAnsi="Times New Roman"/>
        </w:rPr>
      </w:pPr>
    </w:p>
    <w:p>
      <w:pPr>
        <w:pStyle w:val="23"/>
        <w:widowControl w:val="0"/>
        <w:spacing w:beforeAutospacing="0" w:afterAutospacing="0"/>
        <w:ind w:firstLine="0" w:firstLineChars="0"/>
        <w:rPr>
          <w:rFonts w:hint="default" w:ascii="Times New Roman" w:hAnsi="Times New Roman"/>
          <w:b/>
          <w:bCs/>
          <w:kern w:val="2"/>
        </w:rPr>
      </w:pPr>
    </w:p>
    <w:p>
      <w:pPr>
        <w:autoSpaceDE w:val="0"/>
        <w:autoSpaceDN w:val="0"/>
        <w:adjustRightInd w:val="0"/>
        <w:snapToGrid w:val="0"/>
        <w:spacing w:beforeLines="100" w:afterLines="50" w:line="360" w:lineRule="auto"/>
        <w:jc w:val="left"/>
        <w:outlineLvl w:val="0"/>
        <w:rPr>
          <w:b/>
          <w:bCs/>
          <w:sz w:val="24"/>
        </w:rPr>
      </w:pPr>
      <w:bookmarkStart w:id="59" w:name="_Toc12071"/>
      <w:r>
        <w:rPr>
          <w:b/>
          <w:bCs/>
          <w:sz w:val="24"/>
        </w:rPr>
        <w:t>4.2突发环境事件情景源强分析</w:t>
      </w:r>
      <w:bookmarkEnd w:id="59"/>
    </w:p>
    <w:p>
      <w:pPr>
        <w:autoSpaceDE w:val="0"/>
        <w:autoSpaceDN w:val="0"/>
        <w:adjustRightInd w:val="0"/>
        <w:snapToGrid w:val="0"/>
        <w:spacing w:beforeLines="100" w:afterLines="50" w:line="360" w:lineRule="auto"/>
        <w:jc w:val="left"/>
        <w:outlineLvl w:val="0"/>
        <w:rPr>
          <w:b/>
          <w:bCs/>
          <w:sz w:val="24"/>
        </w:rPr>
      </w:pPr>
      <w:bookmarkStart w:id="60" w:name="_Toc3045"/>
      <w:r>
        <w:rPr>
          <w:b/>
          <w:bCs/>
          <w:sz w:val="24"/>
        </w:rPr>
        <w:t>4.2.1泄露事故及环境风险概率</w:t>
      </w:r>
      <w:bookmarkEnd w:id="60"/>
    </w:p>
    <w:p>
      <w:pPr>
        <w:pStyle w:val="23"/>
        <w:widowControl w:val="0"/>
        <w:spacing w:beforeAutospacing="0" w:afterAutospacing="0"/>
        <w:rPr>
          <w:rFonts w:hint="default" w:ascii="Times New Roman" w:hAnsi="Times New Roman"/>
          <w:b/>
        </w:rPr>
      </w:pPr>
      <w:r>
        <w:rPr>
          <w:rFonts w:hint="default" w:ascii="Times New Roman" w:hAnsi="Times New Roman"/>
        </w:rPr>
        <w:t>项目环境风险源：</w:t>
      </w:r>
      <w:r>
        <w:rPr>
          <w:rFonts w:ascii="Times New Roman" w:hAnsi="Times New Roman"/>
        </w:rPr>
        <w:t>成品油</w:t>
      </w:r>
      <w:r>
        <w:rPr>
          <w:rFonts w:hint="default" w:ascii="Times New Roman" w:hAnsi="Times New Roman"/>
        </w:rPr>
        <w:t>、危险废物（油泥、油渣、沾油消防沙）、含油废水等。</w:t>
      </w:r>
    </w:p>
    <w:p>
      <w:pPr>
        <w:pStyle w:val="6"/>
        <w:spacing w:line="240" w:lineRule="auto"/>
        <w:jc w:val="center"/>
        <w:rPr>
          <w:rFonts w:ascii="Times New Roman"/>
          <w:b/>
          <w:sz w:val="21"/>
          <w:szCs w:val="21"/>
        </w:rPr>
      </w:pPr>
      <w:r>
        <w:rPr>
          <w:rFonts w:ascii="Times New Roman"/>
          <w:b/>
          <w:sz w:val="21"/>
          <w:szCs w:val="21"/>
        </w:rPr>
        <w:t>表4-1 项目环境风险源项识别</w:t>
      </w:r>
    </w:p>
    <w:tbl>
      <w:tblPr>
        <w:tblStyle w:val="14"/>
        <w:tblW w:w="83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8"/>
        <w:gridCol w:w="1575"/>
        <w:gridCol w:w="2459"/>
        <w:gridCol w:w="1394"/>
        <w:gridCol w:w="22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678" w:type="dxa"/>
            <w:vAlign w:val="center"/>
          </w:tcPr>
          <w:p>
            <w:pPr>
              <w:jc w:val="center"/>
              <w:rPr>
                <w:b/>
                <w:szCs w:val="21"/>
              </w:rPr>
            </w:pPr>
            <w:r>
              <w:rPr>
                <w:b/>
                <w:szCs w:val="21"/>
              </w:rPr>
              <w:t>序号</w:t>
            </w:r>
          </w:p>
        </w:tc>
        <w:tc>
          <w:tcPr>
            <w:tcW w:w="1575" w:type="dxa"/>
            <w:vAlign w:val="center"/>
          </w:tcPr>
          <w:p>
            <w:pPr>
              <w:jc w:val="center"/>
              <w:rPr>
                <w:b/>
                <w:szCs w:val="21"/>
              </w:rPr>
            </w:pPr>
            <w:r>
              <w:rPr>
                <w:b/>
                <w:szCs w:val="21"/>
              </w:rPr>
              <w:t>发生风险对象</w:t>
            </w:r>
          </w:p>
        </w:tc>
        <w:tc>
          <w:tcPr>
            <w:tcW w:w="2459" w:type="dxa"/>
            <w:vAlign w:val="center"/>
          </w:tcPr>
          <w:p>
            <w:pPr>
              <w:jc w:val="center"/>
              <w:rPr>
                <w:b/>
                <w:szCs w:val="21"/>
              </w:rPr>
            </w:pPr>
            <w:r>
              <w:rPr>
                <w:b/>
                <w:szCs w:val="21"/>
              </w:rPr>
              <w:t>风险类别</w:t>
            </w:r>
          </w:p>
        </w:tc>
        <w:tc>
          <w:tcPr>
            <w:tcW w:w="1394" w:type="dxa"/>
            <w:vAlign w:val="center"/>
          </w:tcPr>
          <w:p>
            <w:pPr>
              <w:jc w:val="center"/>
              <w:rPr>
                <w:b/>
                <w:szCs w:val="21"/>
              </w:rPr>
            </w:pPr>
            <w:r>
              <w:rPr>
                <w:b/>
                <w:szCs w:val="21"/>
              </w:rPr>
              <w:t>风险原因</w:t>
            </w:r>
          </w:p>
        </w:tc>
        <w:tc>
          <w:tcPr>
            <w:tcW w:w="2226" w:type="dxa"/>
            <w:vAlign w:val="center"/>
          </w:tcPr>
          <w:p>
            <w:pPr>
              <w:jc w:val="center"/>
              <w:rPr>
                <w:b/>
                <w:szCs w:val="21"/>
              </w:rPr>
            </w:pPr>
            <w:r>
              <w:rPr>
                <w:b/>
                <w:szCs w:val="21"/>
              </w:rPr>
              <w:t>影响对象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678" w:type="dxa"/>
            <w:vAlign w:val="center"/>
          </w:tcPr>
          <w:p>
            <w:pPr>
              <w:jc w:val="center"/>
              <w:rPr>
                <w:szCs w:val="21"/>
              </w:rPr>
            </w:pPr>
            <w:r>
              <w:rPr>
                <w:szCs w:val="21"/>
              </w:rPr>
              <w:t>1</w:t>
            </w:r>
          </w:p>
        </w:tc>
        <w:tc>
          <w:tcPr>
            <w:tcW w:w="1575" w:type="dxa"/>
            <w:vAlign w:val="center"/>
          </w:tcPr>
          <w:p>
            <w:pPr>
              <w:jc w:val="center"/>
              <w:rPr>
                <w:szCs w:val="21"/>
              </w:rPr>
            </w:pPr>
            <w:r>
              <w:rPr>
                <w:szCs w:val="21"/>
              </w:rPr>
              <w:t>汽油</w:t>
            </w:r>
            <w:r>
              <w:rPr>
                <w:rFonts w:hint="eastAsia"/>
                <w:szCs w:val="21"/>
              </w:rPr>
              <w:t>、柴油等</w:t>
            </w:r>
          </w:p>
        </w:tc>
        <w:tc>
          <w:tcPr>
            <w:tcW w:w="2459" w:type="dxa"/>
            <w:vAlign w:val="center"/>
          </w:tcPr>
          <w:p>
            <w:pPr>
              <w:jc w:val="center"/>
              <w:rPr>
                <w:szCs w:val="21"/>
              </w:rPr>
            </w:pPr>
            <w:r>
              <w:rPr>
                <w:szCs w:val="21"/>
              </w:rPr>
              <w:t>加油、卸油或贮存不当、泄漏</w:t>
            </w:r>
          </w:p>
        </w:tc>
        <w:tc>
          <w:tcPr>
            <w:tcW w:w="1394" w:type="dxa"/>
            <w:vAlign w:val="center"/>
          </w:tcPr>
          <w:p>
            <w:pPr>
              <w:jc w:val="center"/>
              <w:rPr>
                <w:szCs w:val="21"/>
              </w:rPr>
            </w:pPr>
            <w:r>
              <w:rPr>
                <w:szCs w:val="21"/>
              </w:rPr>
              <w:t>管理疏忽，操作不当。</w:t>
            </w:r>
          </w:p>
        </w:tc>
        <w:tc>
          <w:tcPr>
            <w:tcW w:w="2226" w:type="dxa"/>
            <w:vAlign w:val="center"/>
          </w:tcPr>
          <w:p>
            <w:pPr>
              <w:jc w:val="center"/>
              <w:rPr>
                <w:szCs w:val="21"/>
              </w:rPr>
            </w:pPr>
            <w:r>
              <w:rPr>
                <w:szCs w:val="21"/>
              </w:rPr>
              <w:t>附近居民，加油站人群。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78" w:type="dxa"/>
            <w:vAlign w:val="center"/>
          </w:tcPr>
          <w:p>
            <w:pPr>
              <w:jc w:val="center"/>
              <w:rPr>
                <w:szCs w:val="21"/>
              </w:rPr>
            </w:pPr>
            <w:r>
              <w:rPr>
                <w:szCs w:val="21"/>
              </w:rPr>
              <w:t>2</w:t>
            </w:r>
          </w:p>
        </w:tc>
        <w:tc>
          <w:tcPr>
            <w:tcW w:w="1575" w:type="dxa"/>
            <w:vAlign w:val="center"/>
          </w:tcPr>
          <w:p>
            <w:pPr>
              <w:jc w:val="center"/>
              <w:rPr>
                <w:szCs w:val="21"/>
              </w:rPr>
            </w:pPr>
            <w:r>
              <w:rPr>
                <w:szCs w:val="21"/>
              </w:rPr>
              <w:t>危险废物</w:t>
            </w:r>
          </w:p>
        </w:tc>
        <w:tc>
          <w:tcPr>
            <w:tcW w:w="2459" w:type="dxa"/>
          </w:tcPr>
          <w:p>
            <w:pPr>
              <w:jc w:val="center"/>
              <w:rPr>
                <w:szCs w:val="21"/>
              </w:rPr>
            </w:pPr>
            <w:r>
              <w:rPr>
                <w:szCs w:val="21"/>
              </w:rPr>
              <w:t>贮存不当、随意处置。</w:t>
            </w:r>
          </w:p>
        </w:tc>
        <w:tc>
          <w:tcPr>
            <w:tcW w:w="1394" w:type="dxa"/>
          </w:tcPr>
          <w:p>
            <w:pPr>
              <w:jc w:val="center"/>
              <w:rPr>
                <w:szCs w:val="21"/>
              </w:rPr>
            </w:pPr>
            <w:r>
              <w:rPr>
                <w:szCs w:val="21"/>
              </w:rPr>
              <w:t>管理疏忽，操作不当</w:t>
            </w:r>
          </w:p>
        </w:tc>
        <w:tc>
          <w:tcPr>
            <w:tcW w:w="2226" w:type="dxa"/>
          </w:tcPr>
          <w:p>
            <w:pPr>
              <w:jc w:val="center"/>
              <w:rPr>
                <w:szCs w:val="21"/>
              </w:rPr>
            </w:pPr>
            <w:r>
              <w:rPr>
                <w:szCs w:val="21"/>
              </w:rPr>
              <w:t>加油站人群、附近土壤、周边水体。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78" w:type="dxa"/>
            <w:vAlign w:val="center"/>
          </w:tcPr>
          <w:p>
            <w:pPr>
              <w:jc w:val="center"/>
              <w:rPr>
                <w:szCs w:val="21"/>
              </w:rPr>
            </w:pPr>
            <w:r>
              <w:rPr>
                <w:szCs w:val="21"/>
              </w:rPr>
              <w:t>3</w:t>
            </w:r>
          </w:p>
        </w:tc>
        <w:tc>
          <w:tcPr>
            <w:tcW w:w="1575" w:type="dxa"/>
            <w:vAlign w:val="center"/>
          </w:tcPr>
          <w:p>
            <w:pPr>
              <w:jc w:val="center"/>
              <w:rPr>
                <w:szCs w:val="21"/>
              </w:rPr>
            </w:pPr>
            <w:r>
              <w:rPr>
                <w:szCs w:val="21"/>
              </w:rPr>
              <w:t>含油废水</w:t>
            </w:r>
          </w:p>
        </w:tc>
        <w:tc>
          <w:tcPr>
            <w:tcW w:w="2459" w:type="dxa"/>
          </w:tcPr>
          <w:p>
            <w:pPr>
              <w:jc w:val="center"/>
              <w:rPr>
                <w:szCs w:val="21"/>
              </w:rPr>
            </w:pPr>
            <w:r>
              <w:rPr>
                <w:szCs w:val="21"/>
              </w:rPr>
              <w:t>收集沟道泄露、处理设施故障、外排。</w:t>
            </w:r>
          </w:p>
        </w:tc>
        <w:tc>
          <w:tcPr>
            <w:tcW w:w="1394" w:type="dxa"/>
          </w:tcPr>
          <w:p>
            <w:pPr>
              <w:jc w:val="center"/>
              <w:rPr>
                <w:szCs w:val="21"/>
              </w:rPr>
            </w:pPr>
            <w:r>
              <w:rPr>
                <w:szCs w:val="21"/>
              </w:rPr>
              <w:t>管理疏忽，操作不当。</w:t>
            </w:r>
          </w:p>
        </w:tc>
        <w:tc>
          <w:tcPr>
            <w:tcW w:w="2226" w:type="dxa"/>
          </w:tcPr>
          <w:p>
            <w:pPr>
              <w:jc w:val="center"/>
              <w:rPr>
                <w:szCs w:val="21"/>
              </w:rPr>
            </w:pPr>
            <w:r>
              <w:rPr>
                <w:szCs w:val="21"/>
              </w:rPr>
              <w:t>加油站环境、地下水污染、土壤污染。</w:t>
            </w:r>
          </w:p>
        </w:tc>
      </w:tr>
    </w:tbl>
    <w:p>
      <w:pPr>
        <w:pStyle w:val="23"/>
        <w:widowControl w:val="0"/>
        <w:spacing w:beforeAutospacing="0" w:afterAutospacing="0"/>
        <w:ind w:firstLine="0" w:firstLineChars="0"/>
        <w:rPr>
          <w:rFonts w:hint="default" w:ascii="Times New Roman" w:hAnsi="Times New Roman"/>
          <w:b/>
          <w:bCs/>
        </w:rPr>
      </w:pPr>
      <w:r>
        <w:rPr>
          <w:rFonts w:hint="default" w:ascii="Times New Roman" w:hAnsi="Times New Roman"/>
          <w:b/>
          <w:bCs/>
        </w:rPr>
        <w:t>（1）汽油</w:t>
      </w:r>
    </w:p>
    <w:p>
      <w:pPr>
        <w:snapToGrid w:val="0"/>
        <w:jc w:val="center"/>
        <w:rPr>
          <w:b/>
          <w:szCs w:val="21"/>
        </w:rPr>
      </w:pPr>
      <w:r>
        <w:rPr>
          <w:b/>
          <w:szCs w:val="21"/>
        </w:rPr>
        <w:t xml:space="preserve">表4-2 </w:t>
      </w:r>
      <w:r>
        <w:rPr>
          <w:b/>
          <w:color w:val="000000"/>
          <w:szCs w:val="21"/>
        </w:rPr>
        <w:t>汽油的理化性质及危险特性表</w:t>
      </w:r>
    </w:p>
    <w:tbl>
      <w:tblPr>
        <w:tblStyle w:val="14"/>
        <w:tblW w:w="831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467"/>
        <w:gridCol w:w="2325"/>
        <w:gridCol w:w="1342"/>
        <w:gridCol w:w="3182"/>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2" w:hRule="atLeast"/>
          <w:jc w:val="center"/>
        </w:trPr>
        <w:tc>
          <w:tcPr>
            <w:tcW w:w="1467" w:type="dxa"/>
            <w:vAlign w:val="center"/>
          </w:tcPr>
          <w:p>
            <w:pPr>
              <w:snapToGrid w:val="0"/>
              <w:jc w:val="center"/>
              <w:rPr>
                <w:color w:val="000000"/>
                <w:szCs w:val="21"/>
              </w:rPr>
            </w:pPr>
            <w:r>
              <w:rPr>
                <w:color w:val="000000"/>
                <w:szCs w:val="21"/>
              </w:rPr>
              <w:t>名称</w:t>
            </w:r>
          </w:p>
        </w:tc>
        <w:tc>
          <w:tcPr>
            <w:tcW w:w="2325" w:type="dxa"/>
            <w:vAlign w:val="center"/>
          </w:tcPr>
          <w:p>
            <w:pPr>
              <w:snapToGrid w:val="0"/>
              <w:jc w:val="center"/>
              <w:rPr>
                <w:color w:val="000000"/>
                <w:szCs w:val="21"/>
              </w:rPr>
            </w:pPr>
            <w:r>
              <w:rPr>
                <w:color w:val="000000"/>
                <w:szCs w:val="21"/>
              </w:rPr>
              <w:t>汽油</w:t>
            </w:r>
          </w:p>
        </w:tc>
        <w:tc>
          <w:tcPr>
            <w:tcW w:w="1342" w:type="dxa"/>
            <w:vAlign w:val="center"/>
          </w:tcPr>
          <w:p>
            <w:pPr>
              <w:snapToGrid w:val="0"/>
              <w:jc w:val="center"/>
              <w:rPr>
                <w:color w:val="000000"/>
                <w:szCs w:val="21"/>
              </w:rPr>
            </w:pPr>
            <w:r>
              <w:rPr>
                <w:color w:val="000000"/>
                <w:szCs w:val="21"/>
              </w:rPr>
              <w:t>英文名称</w:t>
            </w:r>
          </w:p>
        </w:tc>
        <w:tc>
          <w:tcPr>
            <w:tcW w:w="3182" w:type="dxa"/>
            <w:vAlign w:val="center"/>
          </w:tcPr>
          <w:p>
            <w:pPr>
              <w:snapToGrid w:val="0"/>
              <w:jc w:val="center"/>
              <w:rPr>
                <w:color w:val="000000"/>
                <w:szCs w:val="21"/>
              </w:rPr>
            </w:pPr>
            <w:r>
              <w:rPr>
                <w:color w:val="000000"/>
                <w:szCs w:val="21"/>
              </w:rPr>
              <w:t>Gasline（flash less than -18℃）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3" w:hRule="atLeast"/>
          <w:jc w:val="center"/>
        </w:trPr>
        <w:tc>
          <w:tcPr>
            <w:tcW w:w="1467" w:type="dxa"/>
            <w:vAlign w:val="center"/>
          </w:tcPr>
          <w:p>
            <w:pPr>
              <w:snapToGrid w:val="0"/>
              <w:jc w:val="center"/>
              <w:rPr>
                <w:color w:val="000000"/>
                <w:szCs w:val="21"/>
              </w:rPr>
            </w:pPr>
            <w:r>
              <w:rPr>
                <w:color w:val="000000"/>
                <w:szCs w:val="21"/>
              </w:rPr>
              <w:t>别名</w:t>
            </w:r>
          </w:p>
        </w:tc>
        <w:tc>
          <w:tcPr>
            <w:tcW w:w="2325" w:type="dxa"/>
            <w:vAlign w:val="center"/>
          </w:tcPr>
          <w:p>
            <w:pPr>
              <w:snapToGrid w:val="0"/>
              <w:jc w:val="center"/>
              <w:rPr>
                <w:color w:val="000000"/>
                <w:szCs w:val="21"/>
              </w:rPr>
            </w:pPr>
            <w:r>
              <w:rPr>
                <w:color w:val="000000"/>
                <w:szCs w:val="21"/>
              </w:rPr>
              <w:t>/</w:t>
            </w:r>
          </w:p>
        </w:tc>
        <w:tc>
          <w:tcPr>
            <w:tcW w:w="1342" w:type="dxa"/>
            <w:vAlign w:val="center"/>
          </w:tcPr>
          <w:p>
            <w:pPr>
              <w:snapToGrid w:val="0"/>
              <w:jc w:val="center"/>
              <w:rPr>
                <w:color w:val="000000"/>
                <w:szCs w:val="21"/>
              </w:rPr>
            </w:pPr>
            <w:r>
              <w:rPr>
                <w:color w:val="000000"/>
                <w:szCs w:val="21"/>
              </w:rPr>
              <w:t>分子式</w:t>
            </w:r>
          </w:p>
        </w:tc>
        <w:tc>
          <w:tcPr>
            <w:tcW w:w="3182" w:type="dxa"/>
            <w:vAlign w:val="center"/>
          </w:tcPr>
          <w:p>
            <w:pPr>
              <w:snapToGrid w:val="0"/>
              <w:jc w:val="center"/>
              <w:rPr>
                <w:color w:val="000000"/>
                <w:szCs w:val="21"/>
              </w:rPr>
            </w:pPr>
            <w:r>
              <w:rPr>
                <w:color w:val="000000"/>
                <w:szCs w:val="21"/>
              </w:rPr>
              <w:t>混合物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43" w:hRule="atLeast"/>
          <w:jc w:val="center"/>
        </w:trPr>
        <w:tc>
          <w:tcPr>
            <w:tcW w:w="1467" w:type="dxa"/>
            <w:vAlign w:val="center"/>
          </w:tcPr>
          <w:p>
            <w:pPr>
              <w:snapToGrid w:val="0"/>
              <w:jc w:val="center"/>
              <w:rPr>
                <w:color w:val="000000"/>
                <w:szCs w:val="21"/>
              </w:rPr>
            </w:pPr>
            <w:r>
              <w:rPr>
                <w:color w:val="000000"/>
                <w:szCs w:val="21"/>
              </w:rPr>
              <w:t>理化性质</w:t>
            </w:r>
          </w:p>
        </w:tc>
        <w:tc>
          <w:tcPr>
            <w:tcW w:w="6849" w:type="dxa"/>
            <w:gridSpan w:val="3"/>
            <w:vAlign w:val="center"/>
          </w:tcPr>
          <w:p>
            <w:pPr>
              <w:snapToGrid w:val="0"/>
              <w:jc w:val="left"/>
              <w:rPr>
                <w:color w:val="000000"/>
                <w:szCs w:val="21"/>
              </w:rPr>
            </w:pPr>
            <w:r>
              <w:rPr>
                <w:color w:val="000000"/>
                <w:szCs w:val="21"/>
              </w:rPr>
              <w:t>1、无色到浅黄色透明液体</w:t>
            </w:r>
          </w:p>
          <w:p>
            <w:pPr>
              <w:snapToGrid w:val="0"/>
              <w:jc w:val="left"/>
              <w:rPr>
                <w:color w:val="000000"/>
                <w:szCs w:val="21"/>
              </w:rPr>
            </w:pPr>
            <w:r>
              <w:rPr>
                <w:color w:val="000000"/>
                <w:szCs w:val="21"/>
              </w:rPr>
              <w:t>2、相对密度：0.70～0.80</w:t>
            </w:r>
          </w:p>
          <w:p>
            <w:pPr>
              <w:snapToGrid w:val="0"/>
              <w:jc w:val="left"/>
              <w:rPr>
                <w:color w:val="000000"/>
                <w:szCs w:val="21"/>
              </w:rPr>
            </w:pPr>
            <w:r>
              <w:rPr>
                <w:color w:val="000000"/>
                <w:szCs w:val="21"/>
              </w:rPr>
              <w:t>3、闪点：-50℃</w:t>
            </w:r>
          </w:p>
          <w:p>
            <w:pPr>
              <w:snapToGrid w:val="0"/>
              <w:jc w:val="left"/>
              <w:rPr>
                <w:color w:val="000000"/>
                <w:szCs w:val="21"/>
              </w:rPr>
            </w:pPr>
            <w:r>
              <w:rPr>
                <w:color w:val="000000"/>
                <w:szCs w:val="21"/>
              </w:rPr>
              <w:t>4、爆炸极限：1.4%～7.6%</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316" w:hRule="atLeast"/>
          <w:jc w:val="center"/>
        </w:trPr>
        <w:tc>
          <w:tcPr>
            <w:tcW w:w="1467" w:type="dxa"/>
            <w:vAlign w:val="center"/>
          </w:tcPr>
          <w:p>
            <w:pPr>
              <w:snapToGrid w:val="0"/>
              <w:jc w:val="center"/>
              <w:rPr>
                <w:color w:val="000000"/>
                <w:szCs w:val="21"/>
              </w:rPr>
            </w:pPr>
            <w:r>
              <w:rPr>
                <w:color w:val="000000"/>
                <w:szCs w:val="21"/>
              </w:rPr>
              <w:t>危险特性</w:t>
            </w:r>
          </w:p>
        </w:tc>
        <w:tc>
          <w:tcPr>
            <w:tcW w:w="6849" w:type="dxa"/>
            <w:gridSpan w:val="3"/>
            <w:vAlign w:val="center"/>
          </w:tcPr>
          <w:p>
            <w:pPr>
              <w:snapToGrid w:val="0"/>
              <w:jc w:val="left"/>
              <w:rPr>
                <w:color w:val="000000"/>
                <w:szCs w:val="21"/>
              </w:rPr>
            </w:pPr>
            <w:r>
              <w:rPr>
                <w:color w:val="000000"/>
                <w:szCs w:val="21"/>
              </w:rPr>
              <w:t>1、高度易燃，蒸气与空气可形成爆炸性混合物，遇明火、高热易燃烧爆炸；</w:t>
            </w:r>
          </w:p>
          <w:p>
            <w:pPr>
              <w:snapToGrid w:val="0"/>
              <w:jc w:val="left"/>
              <w:rPr>
                <w:color w:val="000000"/>
                <w:szCs w:val="21"/>
              </w:rPr>
            </w:pPr>
            <w:r>
              <w:rPr>
                <w:color w:val="000000"/>
                <w:szCs w:val="21"/>
              </w:rPr>
              <w:t>2、蒸气比空气重，能在较低处扩散到相当远的地方，遇火源会着火回燃；</w:t>
            </w:r>
          </w:p>
          <w:p>
            <w:pPr>
              <w:snapToGrid w:val="0"/>
              <w:jc w:val="left"/>
              <w:rPr>
                <w:color w:val="000000"/>
                <w:szCs w:val="21"/>
              </w:rPr>
            </w:pPr>
            <w:r>
              <w:rPr>
                <w:color w:val="000000"/>
                <w:szCs w:val="21"/>
              </w:rPr>
              <w:t>3、流速过快，容易产生和积聚静电；</w:t>
            </w:r>
          </w:p>
          <w:p>
            <w:pPr>
              <w:snapToGrid w:val="0"/>
              <w:jc w:val="left"/>
              <w:rPr>
                <w:color w:val="000000"/>
                <w:szCs w:val="21"/>
              </w:rPr>
            </w:pPr>
            <w:r>
              <w:rPr>
                <w:color w:val="000000"/>
                <w:szCs w:val="21"/>
              </w:rPr>
              <w:t>4、在火场中，受热的容器有爆炸危险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09" w:hRule="atLeast"/>
          <w:jc w:val="center"/>
        </w:trPr>
        <w:tc>
          <w:tcPr>
            <w:tcW w:w="1467" w:type="dxa"/>
            <w:vAlign w:val="center"/>
          </w:tcPr>
          <w:p>
            <w:pPr>
              <w:snapToGrid w:val="0"/>
              <w:jc w:val="center"/>
              <w:rPr>
                <w:color w:val="000000"/>
                <w:szCs w:val="21"/>
              </w:rPr>
            </w:pPr>
            <w:r>
              <w:rPr>
                <w:color w:val="000000"/>
                <w:szCs w:val="21"/>
              </w:rPr>
              <w:t>环境影响</w:t>
            </w:r>
          </w:p>
        </w:tc>
        <w:tc>
          <w:tcPr>
            <w:tcW w:w="6849" w:type="dxa"/>
            <w:gridSpan w:val="3"/>
            <w:vAlign w:val="center"/>
          </w:tcPr>
          <w:p>
            <w:pPr>
              <w:snapToGrid w:val="0"/>
              <w:jc w:val="left"/>
              <w:rPr>
                <w:color w:val="000000"/>
                <w:szCs w:val="21"/>
              </w:rPr>
            </w:pPr>
            <w:r>
              <w:rPr>
                <w:color w:val="000000"/>
                <w:szCs w:val="21"/>
              </w:rPr>
              <w:t>1、在很低的浓度下对水生生物造成危害在土壤中具有极强的迁移性有一定的生物富集性；</w:t>
            </w:r>
          </w:p>
          <w:p>
            <w:pPr>
              <w:snapToGrid w:val="0"/>
              <w:jc w:val="left"/>
              <w:rPr>
                <w:color w:val="000000"/>
                <w:szCs w:val="21"/>
              </w:rPr>
            </w:pPr>
            <w:r>
              <w:rPr>
                <w:color w:val="000000"/>
                <w:szCs w:val="21"/>
              </w:rPr>
              <w:t>2、在低的浓度时能生物降解；</w:t>
            </w:r>
          </w:p>
          <w:p>
            <w:pPr>
              <w:snapToGrid w:val="0"/>
              <w:jc w:val="left"/>
              <w:rPr>
                <w:color w:val="000000"/>
                <w:szCs w:val="21"/>
              </w:rPr>
            </w:pPr>
            <w:r>
              <w:rPr>
                <w:color w:val="000000"/>
                <w:szCs w:val="21"/>
              </w:rPr>
              <w:t>3、在高浓度时，可使微生物中毒，不易生物降解。</w:t>
            </w:r>
          </w:p>
        </w:tc>
      </w:tr>
    </w:tbl>
    <w:p>
      <w:pPr>
        <w:pStyle w:val="23"/>
        <w:widowControl w:val="0"/>
        <w:spacing w:beforeAutospacing="0" w:afterAutospacing="0"/>
        <w:ind w:firstLine="0" w:firstLineChars="0"/>
        <w:rPr>
          <w:rFonts w:hint="default"/>
          <w:b/>
          <w:szCs w:val="21"/>
        </w:rPr>
      </w:pPr>
      <w:r>
        <w:rPr>
          <w:rFonts w:hint="default" w:ascii="Times New Roman" w:hAnsi="Times New Roman"/>
          <w:b/>
          <w:bCs/>
        </w:rPr>
        <w:t>（2）</w:t>
      </w:r>
      <w:r>
        <w:rPr>
          <w:rFonts w:ascii="Times New Roman" w:hAnsi="Times New Roman"/>
          <w:b/>
          <w:bCs/>
        </w:rPr>
        <w:t>柴</w:t>
      </w:r>
      <w:r>
        <w:rPr>
          <w:rFonts w:hint="default" w:ascii="Times New Roman" w:hAnsi="Times New Roman"/>
          <w:b/>
          <w:bCs/>
        </w:rPr>
        <w:t>油</w:t>
      </w:r>
    </w:p>
    <w:p>
      <w:pPr>
        <w:snapToGrid w:val="0"/>
        <w:jc w:val="center"/>
        <w:rPr>
          <w:b/>
          <w:szCs w:val="21"/>
        </w:rPr>
      </w:pPr>
      <w:r>
        <w:rPr>
          <w:b/>
          <w:szCs w:val="21"/>
        </w:rPr>
        <w:t xml:space="preserve">表4-2 </w:t>
      </w:r>
      <w:r>
        <w:rPr>
          <w:rFonts w:hint="eastAsia"/>
          <w:b/>
          <w:color w:val="000000"/>
          <w:szCs w:val="21"/>
        </w:rPr>
        <w:t>柴</w:t>
      </w:r>
      <w:r>
        <w:rPr>
          <w:b/>
          <w:color w:val="000000"/>
          <w:szCs w:val="21"/>
        </w:rPr>
        <w:t>油的理化性质及危险特性表</w:t>
      </w:r>
    </w:p>
    <w:tbl>
      <w:tblPr>
        <w:tblStyle w:val="14"/>
        <w:tblW w:w="831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467"/>
        <w:gridCol w:w="2325"/>
        <w:gridCol w:w="1342"/>
        <w:gridCol w:w="3182"/>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2" w:hRule="atLeast"/>
          <w:jc w:val="center"/>
        </w:trPr>
        <w:tc>
          <w:tcPr>
            <w:tcW w:w="1467" w:type="dxa"/>
            <w:vAlign w:val="center"/>
          </w:tcPr>
          <w:p>
            <w:pPr>
              <w:snapToGrid w:val="0"/>
              <w:jc w:val="center"/>
              <w:rPr>
                <w:color w:val="000000"/>
                <w:szCs w:val="21"/>
              </w:rPr>
            </w:pPr>
            <w:r>
              <w:rPr>
                <w:color w:val="000000"/>
                <w:szCs w:val="21"/>
              </w:rPr>
              <w:t>名称</w:t>
            </w:r>
          </w:p>
        </w:tc>
        <w:tc>
          <w:tcPr>
            <w:tcW w:w="2325" w:type="dxa"/>
            <w:vAlign w:val="center"/>
          </w:tcPr>
          <w:p>
            <w:pPr>
              <w:snapToGrid w:val="0"/>
              <w:jc w:val="center"/>
              <w:rPr>
                <w:color w:val="000000"/>
                <w:szCs w:val="21"/>
              </w:rPr>
            </w:pPr>
            <w:r>
              <w:rPr>
                <w:rFonts w:hint="eastAsia"/>
                <w:color w:val="000000"/>
                <w:szCs w:val="21"/>
              </w:rPr>
              <w:t>柴</w:t>
            </w:r>
            <w:r>
              <w:rPr>
                <w:color w:val="000000"/>
                <w:szCs w:val="21"/>
              </w:rPr>
              <w:t>油</w:t>
            </w:r>
          </w:p>
        </w:tc>
        <w:tc>
          <w:tcPr>
            <w:tcW w:w="1342" w:type="dxa"/>
            <w:vAlign w:val="center"/>
          </w:tcPr>
          <w:p>
            <w:pPr>
              <w:snapToGrid w:val="0"/>
              <w:jc w:val="center"/>
              <w:rPr>
                <w:color w:val="000000"/>
                <w:szCs w:val="21"/>
              </w:rPr>
            </w:pPr>
            <w:r>
              <w:rPr>
                <w:color w:val="000000"/>
                <w:szCs w:val="21"/>
              </w:rPr>
              <w:t>英文名称</w:t>
            </w:r>
          </w:p>
        </w:tc>
        <w:tc>
          <w:tcPr>
            <w:tcW w:w="3182" w:type="dxa"/>
            <w:vAlign w:val="center"/>
          </w:tcPr>
          <w:p>
            <w:pPr>
              <w:snapToGrid w:val="0"/>
              <w:jc w:val="center"/>
              <w:rPr>
                <w:color w:val="000000"/>
                <w:szCs w:val="21"/>
              </w:rPr>
            </w:pPr>
            <w:r>
              <w:rPr>
                <w:rFonts w:hint="eastAsia"/>
                <w:color w:val="000000"/>
                <w:szCs w:val="21"/>
              </w:rPr>
              <w:t>diesel oil</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3" w:hRule="atLeast"/>
          <w:jc w:val="center"/>
        </w:trPr>
        <w:tc>
          <w:tcPr>
            <w:tcW w:w="1467" w:type="dxa"/>
            <w:vAlign w:val="center"/>
          </w:tcPr>
          <w:p>
            <w:pPr>
              <w:snapToGrid w:val="0"/>
              <w:jc w:val="center"/>
              <w:rPr>
                <w:color w:val="000000"/>
                <w:szCs w:val="21"/>
              </w:rPr>
            </w:pPr>
            <w:r>
              <w:rPr>
                <w:color w:val="000000"/>
                <w:szCs w:val="21"/>
              </w:rPr>
              <w:t>别名</w:t>
            </w:r>
          </w:p>
        </w:tc>
        <w:tc>
          <w:tcPr>
            <w:tcW w:w="2325" w:type="dxa"/>
            <w:vAlign w:val="center"/>
          </w:tcPr>
          <w:p>
            <w:pPr>
              <w:snapToGrid w:val="0"/>
              <w:jc w:val="center"/>
              <w:rPr>
                <w:color w:val="000000"/>
                <w:szCs w:val="21"/>
              </w:rPr>
            </w:pPr>
            <w:r>
              <w:rPr>
                <w:color w:val="000000"/>
                <w:szCs w:val="21"/>
              </w:rPr>
              <w:t>/</w:t>
            </w:r>
          </w:p>
        </w:tc>
        <w:tc>
          <w:tcPr>
            <w:tcW w:w="1342" w:type="dxa"/>
            <w:vAlign w:val="center"/>
          </w:tcPr>
          <w:p>
            <w:pPr>
              <w:snapToGrid w:val="0"/>
              <w:jc w:val="center"/>
              <w:rPr>
                <w:color w:val="000000"/>
                <w:szCs w:val="21"/>
              </w:rPr>
            </w:pPr>
            <w:r>
              <w:rPr>
                <w:color w:val="000000"/>
                <w:szCs w:val="21"/>
              </w:rPr>
              <w:t>分子式</w:t>
            </w:r>
          </w:p>
        </w:tc>
        <w:tc>
          <w:tcPr>
            <w:tcW w:w="3182" w:type="dxa"/>
            <w:vAlign w:val="center"/>
          </w:tcPr>
          <w:p>
            <w:pPr>
              <w:snapToGrid w:val="0"/>
              <w:jc w:val="center"/>
              <w:rPr>
                <w:color w:val="000000"/>
                <w:szCs w:val="21"/>
              </w:rPr>
            </w:pPr>
            <w:r>
              <w:rPr>
                <w:color w:val="000000"/>
                <w:szCs w:val="21"/>
              </w:rPr>
              <w:t>混合物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43" w:hRule="atLeast"/>
          <w:jc w:val="center"/>
        </w:trPr>
        <w:tc>
          <w:tcPr>
            <w:tcW w:w="1467" w:type="dxa"/>
            <w:vAlign w:val="center"/>
          </w:tcPr>
          <w:p>
            <w:pPr>
              <w:snapToGrid w:val="0"/>
              <w:jc w:val="center"/>
              <w:rPr>
                <w:color w:val="000000"/>
                <w:szCs w:val="21"/>
              </w:rPr>
            </w:pPr>
            <w:r>
              <w:rPr>
                <w:color w:val="000000"/>
                <w:szCs w:val="21"/>
              </w:rPr>
              <w:t>理化性质</w:t>
            </w:r>
          </w:p>
        </w:tc>
        <w:tc>
          <w:tcPr>
            <w:tcW w:w="6849" w:type="dxa"/>
            <w:gridSpan w:val="3"/>
            <w:vAlign w:val="center"/>
          </w:tcPr>
          <w:p>
            <w:pPr>
              <w:snapToGrid w:val="0"/>
              <w:jc w:val="left"/>
              <w:rPr>
                <w:color w:val="000000"/>
                <w:szCs w:val="21"/>
              </w:rPr>
            </w:pPr>
            <w:r>
              <w:rPr>
                <w:color w:val="000000"/>
                <w:szCs w:val="21"/>
              </w:rPr>
              <w:t>1、</w:t>
            </w:r>
            <w:r>
              <w:rPr>
                <w:szCs w:val="21"/>
              </w:rPr>
              <w:t>稍有粘性的棕色液</w:t>
            </w:r>
          </w:p>
          <w:p>
            <w:pPr>
              <w:snapToGrid w:val="0"/>
              <w:jc w:val="left"/>
              <w:rPr>
                <w:color w:val="000000"/>
                <w:szCs w:val="21"/>
              </w:rPr>
            </w:pPr>
            <w:r>
              <w:rPr>
                <w:color w:val="000000"/>
                <w:szCs w:val="21"/>
              </w:rPr>
              <w:t>2、相对密度：</w:t>
            </w:r>
            <w:r>
              <w:rPr>
                <w:szCs w:val="21"/>
              </w:rPr>
              <w:t>0.87～0.9</w:t>
            </w:r>
          </w:p>
          <w:p>
            <w:pPr>
              <w:snapToGrid w:val="0"/>
              <w:jc w:val="left"/>
              <w:rPr>
                <w:color w:val="000000"/>
                <w:szCs w:val="21"/>
              </w:rPr>
            </w:pPr>
            <w:r>
              <w:rPr>
                <w:color w:val="000000"/>
                <w:szCs w:val="21"/>
              </w:rPr>
              <w:t>3、闪点：</w:t>
            </w:r>
            <w:r>
              <w:rPr>
                <w:szCs w:val="21"/>
              </w:rPr>
              <w:t>45～55</w:t>
            </w:r>
          </w:p>
          <w:p>
            <w:pPr>
              <w:snapToGrid w:val="0"/>
              <w:jc w:val="left"/>
              <w:rPr>
                <w:color w:val="000000"/>
                <w:szCs w:val="21"/>
              </w:rPr>
            </w:pPr>
            <w:r>
              <w:rPr>
                <w:color w:val="000000"/>
                <w:szCs w:val="21"/>
              </w:rPr>
              <w:t>4、爆炸极限：1.4%～7.6%</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316" w:hRule="atLeast"/>
          <w:jc w:val="center"/>
        </w:trPr>
        <w:tc>
          <w:tcPr>
            <w:tcW w:w="1467" w:type="dxa"/>
            <w:vAlign w:val="center"/>
          </w:tcPr>
          <w:p>
            <w:pPr>
              <w:snapToGrid w:val="0"/>
              <w:jc w:val="center"/>
              <w:rPr>
                <w:color w:val="000000"/>
                <w:szCs w:val="21"/>
              </w:rPr>
            </w:pPr>
            <w:r>
              <w:rPr>
                <w:color w:val="000000"/>
                <w:szCs w:val="21"/>
              </w:rPr>
              <w:t>危险特性</w:t>
            </w:r>
          </w:p>
        </w:tc>
        <w:tc>
          <w:tcPr>
            <w:tcW w:w="6849" w:type="dxa"/>
            <w:gridSpan w:val="3"/>
            <w:vAlign w:val="center"/>
          </w:tcPr>
          <w:p>
            <w:pPr>
              <w:snapToGrid w:val="0"/>
              <w:jc w:val="left"/>
              <w:rPr>
                <w:color w:val="000000"/>
                <w:szCs w:val="21"/>
              </w:rPr>
            </w:pPr>
            <w:r>
              <w:rPr>
                <w:rFonts w:hint="eastAsia"/>
                <w:color w:val="000000"/>
                <w:szCs w:val="21"/>
              </w:rPr>
              <w:t>遇明火、高热或与氧化剂接触，有引起燃烧爆炸的危险。若遇高热，容器内压增大，有开裂和爆炸的危险。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09" w:hRule="atLeast"/>
          <w:jc w:val="center"/>
        </w:trPr>
        <w:tc>
          <w:tcPr>
            <w:tcW w:w="1467" w:type="dxa"/>
            <w:vAlign w:val="center"/>
          </w:tcPr>
          <w:p>
            <w:pPr>
              <w:snapToGrid w:val="0"/>
              <w:jc w:val="center"/>
              <w:rPr>
                <w:color w:val="000000"/>
                <w:szCs w:val="21"/>
              </w:rPr>
            </w:pPr>
            <w:r>
              <w:rPr>
                <w:color w:val="000000"/>
                <w:szCs w:val="21"/>
              </w:rPr>
              <w:t>环境影响</w:t>
            </w:r>
          </w:p>
        </w:tc>
        <w:tc>
          <w:tcPr>
            <w:tcW w:w="6849" w:type="dxa"/>
            <w:gridSpan w:val="3"/>
            <w:vAlign w:val="center"/>
          </w:tcPr>
          <w:p>
            <w:pPr>
              <w:snapToGrid w:val="0"/>
              <w:jc w:val="left"/>
              <w:rPr>
                <w:color w:val="000000"/>
                <w:szCs w:val="21"/>
              </w:rPr>
            </w:pPr>
            <w:r>
              <w:rPr>
                <w:rFonts w:hint="eastAsia"/>
                <w:color w:val="000000"/>
                <w:szCs w:val="21"/>
              </w:rPr>
              <w:t>该物质对环境有危害，建议不要让其进入环境。对水体和大气可造成污染，破坏水生生物呼吸系统。对海藻应给予特别注意。</w:t>
            </w:r>
          </w:p>
        </w:tc>
      </w:tr>
    </w:tbl>
    <w:p>
      <w:pPr>
        <w:pStyle w:val="23"/>
        <w:widowControl w:val="0"/>
        <w:spacing w:beforeAutospacing="0" w:afterAutospacing="0"/>
        <w:rPr>
          <w:rFonts w:hint="default" w:ascii="Times New Roman" w:hAnsi="Times New Roman"/>
        </w:rPr>
      </w:pPr>
      <w:r>
        <w:rPr>
          <w:rFonts w:hint="default" w:ascii="Times New Roman" w:hAnsi="Times New Roman"/>
        </w:rPr>
        <w:t>汽油</w:t>
      </w:r>
      <w:r>
        <w:rPr>
          <w:rFonts w:ascii="Times New Roman" w:hAnsi="Times New Roman"/>
        </w:rPr>
        <w:t>、柴油</w:t>
      </w:r>
      <w:r>
        <w:rPr>
          <w:rFonts w:hint="default" w:ascii="Times New Roman" w:hAnsi="Times New Roman"/>
        </w:rPr>
        <w:t>存在有毒或易燃、易爆因素，密闭储存，有专人管理，一般情况发生泄露的可能性不大，发生环境风险危害性较小，对人员和环境的危害不大；但发生泄漏：在很低的浓度下对水生生物造成危害，在土壤中具有极强的迁移性有一定的生物富集性；在高浓度时，可使微生物中毒，不易生物降解；同时会引起火灾爆炸事故，造成人员伤亡、环境、水体、土壤污染事故发生。</w:t>
      </w:r>
    </w:p>
    <w:p>
      <w:pPr>
        <w:pStyle w:val="23"/>
        <w:widowControl w:val="0"/>
        <w:spacing w:beforeAutospacing="0" w:afterAutospacing="0"/>
        <w:rPr>
          <w:rFonts w:hint="default" w:ascii="Times New Roman" w:hAnsi="Times New Roman"/>
        </w:rPr>
      </w:pPr>
      <w:r>
        <w:rPr>
          <w:rFonts w:hint="default" w:ascii="Times New Roman" w:hAnsi="Times New Roman"/>
        </w:rPr>
        <w:t>危险废物主要环境风险为管理不当导致未按规范存贮、运输过程发生事故对地表水体、土壤等造成污染。</w:t>
      </w:r>
    </w:p>
    <w:p>
      <w:pPr>
        <w:pStyle w:val="23"/>
        <w:widowControl w:val="0"/>
        <w:spacing w:beforeAutospacing="0" w:afterAutospacing="0"/>
        <w:rPr>
          <w:rFonts w:hint="default" w:ascii="Times New Roman" w:hAnsi="Times New Roman"/>
        </w:rPr>
      </w:pPr>
      <w:r>
        <w:rPr>
          <w:rFonts w:hint="default" w:ascii="Times New Roman" w:hAnsi="Times New Roman"/>
        </w:rPr>
        <w:t>含油污水、生活污水不能及时收集、泄漏、外排等，可能导致周围水体、土壤污染。但只要加强日常管理，定期巡回检查，及时将污水收集，委托当地污水处理厂处理，发生污水污染概率不大。</w:t>
      </w:r>
    </w:p>
    <w:p>
      <w:pPr>
        <w:pStyle w:val="23"/>
        <w:widowControl w:val="0"/>
        <w:spacing w:beforeAutospacing="0" w:afterAutospacing="0"/>
        <w:ind w:left="420" w:leftChars="200" w:firstLine="0" w:firstLineChars="0"/>
        <w:rPr>
          <w:rFonts w:hint="default" w:ascii="Times New Roman" w:hAnsi="Times New Roman"/>
          <w:b/>
          <w:bCs/>
        </w:rPr>
      </w:pPr>
      <w:bookmarkStart w:id="61" w:name="_Toc154457354"/>
      <w:r>
        <w:rPr>
          <w:rFonts w:hint="default" w:ascii="Times New Roman" w:hAnsi="Times New Roman"/>
          <w:b/>
          <w:bCs/>
        </w:rPr>
        <w:t>（3）油品泄漏对周围环境的影响</w:t>
      </w:r>
      <w:bookmarkEnd w:id="61"/>
      <w:r>
        <w:rPr>
          <w:rFonts w:hint="default" w:ascii="Times New Roman" w:hAnsi="Times New Roman"/>
          <w:b/>
          <w:bCs/>
        </w:rPr>
        <w:t>分析</w:t>
      </w:r>
    </w:p>
    <w:p>
      <w:pPr>
        <w:pStyle w:val="23"/>
        <w:widowControl w:val="0"/>
        <w:spacing w:beforeAutospacing="0" w:afterAutospacing="0"/>
        <w:rPr>
          <w:rFonts w:hint="default" w:ascii="Times New Roman" w:hAnsi="Times New Roman"/>
        </w:rPr>
      </w:pPr>
      <w:r>
        <w:rPr>
          <w:rFonts w:hint="default" w:ascii="Times New Roman" w:hAnsi="Times New Roman"/>
        </w:rPr>
        <w:t>本加油站风险评价选取汽油作为风险物质进行定量分析并进行风险预测，定量分析发生风险泄漏时对环境的影响。</w:t>
      </w:r>
    </w:p>
    <w:p>
      <w:pPr>
        <w:pStyle w:val="23"/>
        <w:widowControl w:val="0"/>
        <w:spacing w:beforeAutospacing="0" w:afterAutospacing="0"/>
        <w:rPr>
          <w:rFonts w:hint="default" w:ascii="Times New Roman" w:hAnsi="Times New Roman"/>
        </w:rPr>
      </w:pPr>
      <w:r>
        <w:rPr>
          <w:rFonts w:hint="default" w:ascii="Times New Roman" w:hAnsi="Times New Roman"/>
        </w:rPr>
        <w:t>泄漏量的计算主要包括确定泄漏口尺寸、泄漏速率的计算和泄漏量的计算等。一般储罐的接头、阀门以及加油枪等辅助设备易发生泄漏，裂口尺寸取其连接管道直径的20～100%，本次评价以100％计。</w:t>
      </w:r>
    </w:p>
    <w:p>
      <w:pPr>
        <w:pStyle w:val="23"/>
        <w:widowControl w:val="0"/>
        <w:spacing w:beforeAutospacing="0" w:afterAutospacing="0"/>
        <w:rPr>
          <w:rFonts w:hint="default" w:ascii="Times New Roman" w:hAnsi="Times New Roman"/>
        </w:rPr>
      </w:pPr>
      <w:r>
        <w:rPr>
          <w:rFonts w:hint="default" w:ascii="Times New Roman" w:hAnsi="Times New Roman"/>
        </w:rPr>
        <w:t>泄漏速度采用柏努利方程计算：</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80" w:firstLineChars="200"/>
        <w:rPr>
          <w:sz w:val="24"/>
        </w:rPr>
      </w:pPr>
      <w:r>
        <w:rPr>
          <w:position w:val="-32"/>
          <w:sz w:val="24"/>
        </w:rPr>
        <w:object>
          <v:shape id="_x0000_i1029" o:spt="75" type="#_x0000_t75" style="height:36pt;width:144pt;" o:ole="t" filled="f" o:preferrelative="t" stroked="f" coordsize="21600,21600">
            <v:path/>
            <v:fill on="f" focussize="0,0"/>
            <v:stroke on="f" joinstyle="miter"/>
            <v:imagedata r:id="rId23" o:title=""/>
            <o:lock v:ext="edit" aspectratio="t"/>
            <w10:wrap type="none"/>
            <w10:anchorlock/>
          </v:shape>
          <o:OLEObject Type="Embed" ProgID="Equation.3" ShapeID="_x0000_i1029" DrawAspect="Content" ObjectID="_1468075729" r:id="rId22">
            <o:LockedField>false</o:LockedField>
          </o:OLEObject>
        </w:object>
      </w:r>
    </w:p>
    <w:p>
      <w:pPr>
        <w:pStyle w:val="23"/>
        <w:widowControl w:val="0"/>
        <w:spacing w:beforeAutospacing="0" w:afterAutospacing="0"/>
        <w:rPr>
          <w:rFonts w:hint="default" w:ascii="Times New Roman" w:hAnsi="Times New Roman"/>
        </w:rPr>
      </w:pPr>
      <w:r>
        <w:rPr>
          <w:rFonts w:hint="default" w:ascii="Times New Roman" w:hAnsi="Times New Roman"/>
        </w:rPr>
        <w:t>式中参数含义及计算取值见表4-4。取泄漏时间为3分钟，则汽油得泄漏量为2.27吨。</w:t>
      </w:r>
    </w:p>
    <w:p>
      <w:pPr>
        <w:pStyle w:val="23"/>
        <w:widowControl w:val="0"/>
        <w:spacing w:beforeAutospacing="0" w:afterAutospacing="0" w:line="240" w:lineRule="auto"/>
        <w:ind w:firstLine="0" w:firstLineChars="0"/>
        <w:jc w:val="center"/>
        <w:rPr>
          <w:rFonts w:hint="default" w:ascii="Times New Roman" w:hAnsi="Times New Roman"/>
          <w:b/>
          <w:bCs/>
          <w:sz w:val="21"/>
          <w:szCs w:val="21"/>
        </w:rPr>
      </w:pPr>
      <w:r>
        <w:rPr>
          <w:rFonts w:hint="default" w:ascii="Times New Roman" w:hAnsi="Times New Roman"/>
          <w:b/>
          <w:bCs/>
          <w:sz w:val="21"/>
          <w:szCs w:val="21"/>
        </w:rPr>
        <w:t>表4-4 泄漏量计算参数</w:t>
      </w:r>
    </w:p>
    <w:tbl>
      <w:tblPr>
        <w:tblStyle w:val="14"/>
        <w:tblW w:w="8302" w:type="dxa"/>
        <w:tblInd w:w="107"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42"/>
        <w:gridCol w:w="1862"/>
        <w:gridCol w:w="1022"/>
        <w:gridCol w:w="4676"/>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65" w:hRule="atLeast"/>
        </w:trPr>
        <w:tc>
          <w:tcPr>
            <w:tcW w:w="742" w:type="dxa"/>
            <w:vMerge w:val="restart"/>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符号</w:t>
            </w:r>
          </w:p>
        </w:tc>
        <w:tc>
          <w:tcPr>
            <w:tcW w:w="1862" w:type="dxa"/>
            <w:vMerge w:val="restart"/>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含义</w:t>
            </w:r>
          </w:p>
        </w:tc>
        <w:tc>
          <w:tcPr>
            <w:tcW w:w="1022" w:type="dxa"/>
            <w:vMerge w:val="restart"/>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单位</w:t>
            </w:r>
          </w:p>
        </w:tc>
        <w:tc>
          <w:tcPr>
            <w:tcW w:w="4676"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数值</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300" w:hRule="atLeast"/>
        </w:trPr>
        <w:tc>
          <w:tcPr>
            <w:tcW w:w="742"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szCs w:val="21"/>
              </w:rPr>
            </w:pPr>
          </w:p>
        </w:tc>
        <w:tc>
          <w:tcPr>
            <w:tcW w:w="1862"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szCs w:val="21"/>
              </w:rPr>
            </w:pPr>
          </w:p>
        </w:tc>
        <w:tc>
          <w:tcPr>
            <w:tcW w:w="1022"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szCs w:val="21"/>
              </w:rPr>
            </w:pPr>
          </w:p>
        </w:tc>
        <w:tc>
          <w:tcPr>
            <w:tcW w:w="4676"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汽油</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4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Cd</w:t>
            </w:r>
          </w:p>
        </w:tc>
        <w:tc>
          <w:tcPr>
            <w:tcW w:w="186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液体泄漏系数</w:t>
            </w:r>
          </w:p>
        </w:tc>
        <w:tc>
          <w:tcPr>
            <w:tcW w:w="102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无量纲</w:t>
            </w:r>
          </w:p>
        </w:tc>
        <w:tc>
          <w:tcPr>
            <w:tcW w:w="4676"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0.65</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4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A</w:t>
            </w:r>
          </w:p>
        </w:tc>
        <w:tc>
          <w:tcPr>
            <w:tcW w:w="186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裂口面积</w:t>
            </w:r>
          </w:p>
        </w:tc>
        <w:tc>
          <w:tcPr>
            <w:tcW w:w="102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m</w:t>
            </w:r>
            <w:r>
              <w:rPr>
                <w:szCs w:val="21"/>
                <w:vertAlign w:val="superscript"/>
              </w:rPr>
              <w:t>2</w:t>
            </w:r>
          </w:p>
        </w:tc>
        <w:tc>
          <w:tcPr>
            <w:tcW w:w="4676"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0.00785</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4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ρ</w:t>
            </w:r>
          </w:p>
        </w:tc>
        <w:tc>
          <w:tcPr>
            <w:tcW w:w="186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泄漏液体密度</w:t>
            </w:r>
          </w:p>
        </w:tc>
        <w:tc>
          <w:tcPr>
            <w:tcW w:w="102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kg/m</w:t>
            </w:r>
            <w:r>
              <w:rPr>
                <w:szCs w:val="21"/>
                <w:vertAlign w:val="superscript"/>
              </w:rPr>
              <w:t>3</w:t>
            </w:r>
          </w:p>
        </w:tc>
        <w:tc>
          <w:tcPr>
            <w:tcW w:w="4676" w:type="dxa"/>
            <w:tcBorders>
              <w:top w:val="single" w:color="auto" w:sz="4" w:space="0"/>
              <w:left w:val="single" w:color="auto" w:sz="4" w:space="0"/>
              <w:bottom w:val="single" w:color="auto" w:sz="4" w:space="0"/>
              <w:right w:val="single" w:color="auto" w:sz="4" w:space="0"/>
            </w:tcBorders>
          </w:tcPr>
          <w:p>
            <w:pPr>
              <w:pStyle w:val="24"/>
              <w:spacing w:line="240" w:lineRule="auto"/>
              <w:rPr>
                <w:rFonts w:eastAsia="宋体"/>
                <w:spacing w:val="0"/>
                <w:kern w:val="2"/>
              </w:rPr>
            </w:pPr>
            <w:r>
              <w:rPr>
                <w:rFonts w:eastAsia="宋体"/>
                <w:spacing w:val="0"/>
                <w:kern w:val="2"/>
              </w:rPr>
              <w:t>790</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4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P</w:t>
            </w:r>
          </w:p>
        </w:tc>
        <w:tc>
          <w:tcPr>
            <w:tcW w:w="186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容器内介质压力</w:t>
            </w:r>
          </w:p>
        </w:tc>
        <w:tc>
          <w:tcPr>
            <w:tcW w:w="102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Pa</w:t>
            </w:r>
          </w:p>
        </w:tc>
        <w:tc>
          <w:tcPr>
            <w:tcW w:w="4676"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常压</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4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P</w:t>
            </w:r>
            <w:r>
              <w:rPr>
                <w:szCs w:val="21"/>
                <w:vertAlign w:val="subscript"/>
              </w:rPr>
              <w:t>0</w:t>
            </w:r>
          </w:p>
        </w:tc>
        <w:tc>
          <w:tcPr>
            <w:tcW w:w="186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环境压力</w:t>
            </w:r>
          </w:p>
        </w:tc>
        <w:tc>
          <w:tcPr>
            <w:tcW w:w="102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Pa</w:t>
            </w:r>
          </w:p>
        </w:tc>
        <w:tc>
          <w:tcPr>
            <w:tcW w:w="4676"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常压</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4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G</w:t>
            </w:r>
          </w:p>
        </w:tc>
        <w:tc>
          <w:tcPr>
            <w:tcW w:w="186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重力加速度</w:t>
            </w:r>
          </w:p>
        </w:tc>
        <w:tc>
          <w:tcPr>
            <w:tcW w:w="102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m/s</w:t>
            </w:r>
            <w:r>
              <w:rPr>
                <w:szCs w:val="21"/>
                <w:vertAlign w:val="superscript"/>
              </w:rPr>
              <w:t>2</w:t>
            </w:r>
          </w:p>
        </w:tc>
        <w:tc>
          <w:tcPr>
            <w:tcW w:w="4676"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9.8</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4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Q</w:t>
            </w:r>
          </w:p>
        </w:tc>
        <w:tc>
          <w:tcPr>
            <w:tcW w:w="186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液体泄漏速度</w:t>
            </w:r>
          </w:p>
        </w:tc>
        <w:tc>
          <w:tcPr>
            <w:tcW w:w="102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kg/s</w:t>
            </w:r>
          </w:p>
        </w:tc>
        <w:tc>
          <w:tcPr>
            <w:tcW w:w="4676"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12.6</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42" w:type="dxa"/>
            <w:tcBorders>
              <w:top w:val="single" w:color="auto" w:sz="4" w:space="0"/>
              <w:left w:val="single" w:color="auto" w:sz="4" w:space="0"/>
              <w:bottom w:val="single" w:color="auto" w:sz="4" w:space="0"/>
              <w:right w:val="single" w:color="auto" w:sz="4" w:space="0"/>
            </w:tcBorders>
          </w:tcPr>
          <w:p>
            <w:pPr>
              <w:jc w:val="center"/>
              <w:rPr>
                <w:szCs w:val="21"/>
              </w:rPr>
            </w:pPr>
          </w:p>
        </w:tc>
        <w:tc>
          <w:tcPr>
            <w:tcW w:w="186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泄漏时间</w:t>
            </w:r>
          </w:p>
        </w:tc>
        <w:tc>
          <w:tcPr>
            <w:tcW w:w="102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s</w:t>
            </w:r>
          </w:p>
        </w:tc>
        <w:tc>
          <w:tcPr>
            <w:tcW w:w="4676"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180</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42" w:type="dxa"/>
            <w:tcBorders>
              <w:top w:val="single" w:color="auto" w:sz="4" w:space="0"/>
              <w:left w:val="single" w:color="auto" w:sz="4" w:space="0"/>
              <w:bottom w:val="single" w:color="auto" w:sz="4" w:space="0"/>
              <w:right w:val="single" w:color="auto" w:sz="4" w:space="0"/>
            </w:tcBorders>
          </w:tcPr>
          <w:p>
            <w:pPr>
              <w:jc w:val="center"/>
              <w:rPr>
                <w:szCs w:val="21"/>
              </w:rPr>
            </w:pPr>
          </w:p>
        </w:tc>
        <w:tc>
          <w:tcPr>
            <w:tcW w:w="186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泄漏量</w:t>
            </w:r>
          </w:p>
        </w:tc>
        <w:tc>
          <w:tcPr>
            <w:tcW w:w="1022"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kg</w:t>
            </w:r>
          </w:p>
        </w:tc>
        <w:tc>
          <w:tcPr>
            <w:tcW w:w="4676" w:type="dxa"/>
            <w:tcBorders>
              <w:top w:val="single" w:color="auto" w:sz="4" w:space="0"/>
              <w:left w:val="single" w:color="auto" w:sz="4" w:space="0"/>
              <w:bottom w:val="single" w:color="auto" w:sz="4" w:space="0"/>
              <w:right w:val="single" w:color="auto" w:sz="4" w:space="0"/>
            </w:tcBorders>
          </w:tcPr>
          <w:p>
            <w:pPr>
              <w:jc w:val="center"/>
              <w:rPr>
                <w:szCs w:val="21"/>
              </w:rPr>
            </w:pPr>
            <w:r>
              <w:rPr>
                <w:szCs w:val="21"/>
              </w:rPr>
              <w:t>2.27</w:t>
            </w:r>
          </w:p>
        </w:tc>
      </w:tr>
    </w:tbl>
    <w:p>
      <w:pPr>
        <w:pStyle w:val="23"/>
        <w:widowControl w:val="0"/>
        <w:spacing w:beforeAutospacing="0" w:afterAutospacing="0"/>
        <w:ind w:left="420" w:leftChars="200" w:firstLine="0" w:firstLineChars="0"/>
        <w:rPr>
          <w:rFonts w:hint="default" w:ascii="Times New Roman" w:hAnsi="Times New Roman"/>
          <w:b/>
          <w:bCs/>
        </w:rPr>
      </w:pPr>
      <w:bookmarkStart w:id="62" w:name="_Toc154457355"/>
      <w:bookmarkStart w:id="63" w:name="_Toc134148633"/>
      <w:r>
        <w:rPr>
          <w:rFonts w:hint="default" w:ascii="Times New Roman" w:hAnsi="Times New Roman"/>
          <w:b/>
          <w:bCs/>
        </w:rPr>
        <w:t>泄漏液体蒸发量</w:t>
      </w:r>
      <w:bookmarkEnd w:id="62"/>
      <w:bookmarkEnd w:id="63"/>
    </w:p>
    <w:p>
      <w:pPr>
        <w:pStyle w:val="23"/>
        <w:widowControl w:val="0"/>
        <w:spacing w:beforeAutospacing="0" w:afterAutospacing="0"/>
        <w:rPr>
          <w:rFonts w:hint="default" w:ascii="Times New Roman" w:hAnsi="Times New Roman"/>
        </w:rPr>
      </w:pPr>
      <w:r>
        <w:rPr>
          <w:rFonts w:hint="default" w:ascii="Times New Roman" w:hAnsi="Times New Roman"/>
        </w:rPr>
        <w:t>本评价使用《环境统计手册》（四川科学技术出版社，1985）中推荐的计算公式：</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80" w:firstLineChars="200"/>
        <w:rPr>
          <w:sz w:val="24"/>
        </w:rPr>
      </w:pPr>
      <w:r>
        <w:rPr>
          <w:position w:val="-12"/>
          <w:sz w:val="24"/>
        </w:rPr>
        <w:object>
          <v:shape id="_x0000_i1030" o:spt="75" type="#_x0000_t75" style="height:21.75pt;width:158.25pt;" o:ole="t" filled="f" o:preferrelative="t" stroked="f" coordsize="21600,21600">
            <v:path/>
            <v:fill on="f" focussize="0,0"/>
            <v:stroke on="f" joinstyle="miter"/>
            <v:imagedata r:id="rId25" o:title=""/>
            <o:lock v:ext="edit" aspectratio="t"/>
            <w10:wrap type="none"/>
            <w10:anchorlock/>
          </v:shape>
          <o:OLEObject Type="Embed" ProgID="Equation.3" ShapeID="_x0000_i1030" DrawAspect="Content" ObjectID="_1468075730" r:id="rId24">
            <o:LockedField>false</o:LockedField>
          </o:OLEObject>
        </w:object>
      </w:r>
    </w:p>
    <w:p>
      <w:pPr>
        <w:pStyle w:val="23"/>
        <w:widowControl w:val="0"/>
        <w:spacing w:beforeAutospacing="0" w:afterAutospacing="0"/>
        <w:rPr>
          <w:rFonts w:hint="default" w:ascii="Times New Roman" w:hAnsi="Times New Roman"/>
        </w:rPr>
      </w:pPr>
      <w:r>
        <w:rPr>
          <w:rFonts w:hint="default" w:ascii="Times New Roman" w:hAnsi="Times New Roman"/>
        </w:rPr>
        <w:t>式中</w:t>
      </w:r>
      <w:r>
        <w:rPr>
          <w:rFonts w:hint="default" w:ascii="Times New Roman" w:hAnsi="Times New Roman"/>
        </w:rPr>
        <w:object>
          <v:shape id="_x0000_i1031" o:spt="75" type="#_x0000_t75" style="height:21.75pt;width:14.25pt;" o:ole="t" filled="f" o:preferrelative="t" stroked="f" coordsize="21600,21600">
            <v:path/>
            <v:fill on="f" focussize="0,0"/>
            <v:stroke on="f" joinstyle="miter"/>
            <v:imagedata r:id="rId27" o:title=""/>
            <o:lock v:ext="edit" aspectratio="t"/>
            <w10:wrap type="none"/>
            <w10:anchorlock/>
          </v:shape>
          <o:OLEObject Type="Embed" ProgID="Equation.3" ShapeID="_x0000_i1031" DrawAspect="Content" ObjectID="_1468075731" r:id="rId26">
            <o:LockedField>false</o:LockedField>
          </o:OLEObject>
        </w:object>
      </w:r>
      <w:r>
        <w:rPr>
          <w:rFonts w:hint="default" w:ascii="Times New Roman" w:hAnsi="Times New Roman"/>
        </w:rPr>
        <w:t>－挥发速度，g/s；</w:t>
      </w:r>
    </w:p>
    <w:p>
      <w:pPr>
        <w:pStyle w:val="23"/>
        <w:widowControl w:val="0"/>
        <w:spacing w:beforeAutospacing="0" w:afterAutospacing="0"/>
        <w:rPr>
          <w:rFonts w:hint="default" w:ascii="Times New Roman" w:hAnsi="Times New Roman"/>
        </w:rPr>
      </w:pPr>
      <w:r>
        <w:rPr>
          <w:rFonts w:hint="default" w:ascii="Times New Roman" w:hAnsi="Times New Roman"/>
        </w:rPr>
        <w:object>
          <v:shape id="_x0000_i1032" o:spt="75" type="#_x0000_t75" style="height:14.25pt;width:7.5pt;" o:ole="t" filled="f" o:preferrelative="t" stroked="f" coordsize="21600,21600">
            <v:path/>
            <v:fill on="f" focussize="0,0"/>
            <v:stroke on="f" joinstyle="miter"/>
            <v:imagedata r:id="rId29" o:title=""/>
            <o:lock v:ext="edit" aspectratio="t"/>
            <w10:wrap type="none"/>
            <w10:anchorlock/>
          </v:shape>
          <o:OLEObject Type="Embed" ProgID="Equation.3" ShapeID="_x0000_i1032" DrawAspect="Content" ObjectID="_1468075732" r:id="rId28">
            <o:LockedField>false</o:LockedField>
          </o:OLEObject>
        </w:object>
      </w:r>
      <w:r>
        <w:rPr>
          <w:rFonts w:hint="default" w:ascii="Times New Roman" w:hAnsi="Times New Roman"/>
        </w:rPr>
        <w:t>－风速，m/s；</w:t>
      </w:r>
    </w:p>
    <w:p>
      <w:pPr>
        <w:pStyle w:val="23"/>
        <w:widowControl w:val="0"/>
        <w:spacing w:beforeAutospacing="0" w:afterAutospacing="0"/>
        <w:rPr>
          <w:rFonts w:hint="default" w:ascii="Times New Roman" w:hAnsi="Times New Roman"/>
        </w:rPr>
      </w:pPr>
      <w:r>
        <w:rPr>
          <w:rFonts w:hint="default" w:ascii="Times New Roman" w:hAnsi="Times New Roman"/>
        </w:rPr>
        <w:object>
          <v:shape id="_x0000_i1033" o:spt="75" type="#_x0000_t75" style="height:14.25pt;width:14.25pt;" o:ole="t" filled="f" o:preferrelative="t" stroked="f" coordsize="21600,21600">
            <v:path/>
            <v:fill on="f" focussize="0,0"/>
            <v:stroke on="f" joinstyle="miter"/>
            <v:imagedata r:id="rId31" o:title=""/>
            <o:lock v:ext="edit" aspectratio="t"/>
            <w10:wrap type="none"/>
            <w10:anchorlock/>
          </v:shape>
          <o:OLEObject Type="Embed" ProgID="Equation.3" ShapeID="_x0000_i1033" DrawAspect="Content" ObjectID="_1468075733" r:id="rId30">
            <o:LockedField>false</o:LockedField>
          </o:OLEObject>
        </w:object>
      </w:r>
      <w:r>
        <w:rPr>
          <w:rFonts w:hint="default" w:ascii="Times New Roman" w:hAnsi="Times New Roman"/>
        </w:rPr>
        <w:t>－物品蒸汽压；</w:t>
      </w:r>
    </w:p>
    <w:p>
      <w:pPr>
        <w:pStyle w:val="23"/>
        <w:widowControl w:val="0"/>
        <w:spacing w:beforeAutospacing="0" w:afterAutospacing="0"/>
        <w:rPr>
          <w:rFonts w:hint="default" w:ascii="Times New Roman" w:hAnsi="Times New Roman"/>
        </w:rPr>
      </w:pPr>
      <w:r>
        <w:rPr>
          <w:rFonts w:hint="default" w:ascii="Times New Roman" w:hAnsi="Times New Roman"/>
        </w:rPr>
        <w:object>
          <v:shape id="_x0000_i1034" o:spt="75" type="#_x0000_t75" style="height:14.25pt;width:14.25pt;" o:ole="t" filled="f" o:preferrelative="t" stroked="f" coordsize="21600,21600">
            <v:path/>
            <v:fill on="f" focussize="0,0"/>
            <v:stroke on="f" joinstyle="miter"/>
            <v:imagedata r:id="rId33" o:title=""/>
            <o:lock v:ext="edit" aspectratio="t"/>
            <w10:wrap type="none"/>
            <w10:anchorlock/>
          </v:shape>
          <o:OLEObject Type="Embed" ProgID="Equation.3" ShapeID="_x0000_i1034" DrawAspect="Content" ObjectID="_1468075734" r:id="rId32">
            <o:LockedField>false</o:LockedField>
          </o:OLEObject>
        </w:object>
      </w:r>
      <w:r>
        <w:rPr>
          <w:rFonts w:hint="default" w:ascii="Times New Roman" w:hAnsi="Times New Roman"/>
        </w:rPr>
        <w:t>－泄漏面积；</w:t>
      </w:r>
    </w:p>
    <w:p>
      <w:pPr>
        <w:pStyle w:val="23"/>
        <w:widowControl w:val="0"/>
        <w:spacing w:beforeAutospacing="0" w:afterAutospacing="0"/>
        <w:rPr>
          <w:rFonts w:hint="default" w:ascii="Times New Roman" w:hAnsi="Times New Roman"/>
        </w:rPr>
      </w:pPr>
      <w:r>
        <w:rPr>
          <w:rFonts w:hint="default" w:ascii="Times New Roman" w:hAnsi="Times New Roman"/>
        </w:rPr>
        <w:object>
          <v:shape id="_x0000_i1035" o:spt="75" type="#_x0000_t75" style="height:14.25pt;width:14.25pt;" o:ole="t" filled="f" o:preferrelative="t" stroked="f" coordsize="21600,21600">
            <v:path/>
            <v:fill on="f" focussize="0,0"/>
            <v:stroke on="f" joinstyle="miter"/>
            <v:imagedata r:id="rId35" o:title=""/>
            <o:lock v:ext="edit" aspectratio="t"/>
            <w10:wrap type="none"/>
            <w10:anchorlock/>
          </v:shape>
          <o:OLEObject Type="Embed" ProgID="Equation.3" ShapeID="_x0000_i1035" DrawAspect="Content" ObjectID="_1468075735" r:id="rId34">
            <o:LockedField>false</o:LockedField>
          </o:OLEObject>
        </w:object>
      </w:r>
      <w:r>
        <w:rPr>
          <w:rFonts w:hint="default" w:ascii="Times New Roman" w:hAnsi="Times New Roman"/>
        </w:rPr>
        <w:t>－分子量。</w:t>
      </w:r>
    </w:p>
    <w:p>
      <w:pPr>
        <w:pStyle w:val="23"/>
        <w:widowControl w:val="0"/>
        <w:spacing w:beforeAutospacing="0" w:afterAutospacing="0"/>
        <w:rPr>
          <w:rFonts w:hint="default" w:ascii="Times New Roman" w:hAnsi="Times New Roman"/>
        </w:rPr>
      </w:pPr>
      <w:r>
        <w:rPr>
          <w:rFonts w:hint="default" w:ascii="Times New Roman" w:hAnsi="Times New Roman"/>
        </w:rPr>
        <w:t>此处考虑发生泄漏事故时，汽油的挥发速率为2.97g/s。</w:t>
      </w:r>
    </w:p>
    <w:p>
      <w:pPr>
        <w:pStyle w:val="23"/>
        <w:widowControl w:val="0"/>
        <w:spacing w:beforeAutospacing="0" w:afterAutospacing="0"/>
        <w:rPr>
          <w:rFonts w:hint="default" w:ascii="Times New Roman" w:hAnsi="Times New Roman"/>
        </w:rPr>
      </w:pPr>
      <w:r>
        <w:rPr>
          <w:rFonts w:hint="default" w:ascii="Times New Roman" w:hAnsi="Times New Roman"/>
        </w:rPr>
        <w:t>使用非正常排放模式，计算得出某时刻一次浓度值。</w:t>
      </w:r>
    </w:p>
    <w:p>
      <w:pPr>
        <w:pStyle w:val="23"/>
        <w:widowControl w:val="0"/>
        <w:spacing w:beforeAutospacing="0" w:afterAutospacing="0"/>
        <w:rPr>
          <w:rFonts w:hint="default" w:ascii="Times New Roman" w:hAnsi="Times New Roman"/>
        </w:rPr>
      </w:pPr>
      <w:r>
        <w:rPr>
          <w:rFonts w:hint="default" w:ascii="Times New Roman" w:hAnsi="Times New Roman"/>
        </w:rPr>
        <w:t>非正常排放模式：</w:t>
      </w:r>
    </w:p>
    <w:p>
      <w:pPr>
        <w:snapToGrid w:val="0"/>
        <w:spacing w:after="240" w:line="360" w:lineRule="auto"/>
        <w:ind w:firstLine="1200"/>
        <w:rPr>
          <w:color w:val="000000"/>
          <w:sz w:val="24"/>
          <w:vertAlign w:val="subscript"/>
        </w:rPr>
      </w:pPr>
      <w:r>
        <w:rPr>
          <w:color w:val="000000"/>
          <w:position w:val="-30"/>
          <w:sz w:val="24"/>
        </w:rPr>
        <w:object>
          <v:shape id="_x0000_i1036" o:spt="75" type="#_x0000_t75" style="height:36pt;width:216pt;" o:ole="t" fillcolor="#000011" filled="f" o:preferrelative="t" stroked="f" coordsize="21600,21600">
            <v:path/>
            <v:fill on="f" focussize="0,0"/>
            <v:stroke on="f" joinstyle="miter"/>
            <v:imagedata r:id="rId37" o:title=""/>
            <o:lock v:ext="edit" aspectratio="t"/>
            <w10:wrap type="none"/>
            <w10:anchorlock/>
          </v:shape>
          <o:OLEObject Type="Embed" ProgID="Equation.2" ShapeID="_x0000_i1036" DrawAspect="Content" ObjectID="_1468075736" r:id="rId36">
            <o:LockedField>false</o:LockedField>
          </o:OLEObject>
        </w:object>
      </w:r>
      <w:r>
        <w:rPr>
          <w:color w:val="000000"/>
          <w:sz w:val="24"/>
        </w:rPr>
        <w:t>G</w:t>
      </w:r>
      <w:r>
        <w:rPr>
          <w:color w:val="000000"/>
          <w:sz w:val="24"/>
          <w:vertAlign w:val="subscript"/>
        </w:rPr>
        <w:t>1</w:t>
      </w:r>
    </w:p>
    <w:p>
      <w:pPr>
        <w:snapToGrid w:val="0"/>
        <w:spacing w:line="360" w:lineRule="auto"/>
        <w:ind w:firstLine="540"/>
        <w:rPr>
          <w:color w:val="000000"/>
          <w:sz w:val="24"/>
        </w:rPr>
      </w:pPr>
      <w:r>
        <w:rPr>
          <w:color w:val="000000"/>
          <w:position w:val="-36"/>
          <w:sz w:val="24"/>
        </w:rPr>
        <w:object>
          <v:shape id="_x0000_i1037" o:spt="75" type="#_x0000_t75" style="height:57.75pt;width:281.25pt;" o:ole="t" fillcolor="#000011" filled="f" o:preferrelative="t" stroked="f" coordsize="21600,21600">
            <v:path/>
            <v:fill on="f" focussize="0,0"/>
            <v:stroke on="f" joinstyle="miter"/>
            <v:imagedata r:id="rId39" o:title=""/>
            <o:lock v:ext="edit" aspectratio="t"/>
            <w10:wrap type="none"/>
            <w10:anchorlock/>
          </v:shape>
          <o:OLEObject Type="Embed" ProgID="Equation.3" ShapeID="_x0000_i1037" DrawAspect="Content" ObjectID="_1468075737" r:id="rId38">
            <o:LockedField>false</o:LockedField>
          </o:OLEObject>
        </w:object>
      </w:r>
    </w:p>
    <w:p>
      <w:pPr>
        <w:pStyle w:val="23"/>
        <w:widowControl w:val="0"/>
        <w:spacing w:beforeAutospacing="0" w:afterAutospacing="0"/>
        <w:rPr>
          <w:rFonts w:hint="default" w:ascii="Times New Roman" w:hAnsi="Times New Roman"/>
        </w:rPr>
      </w:pPr>
      <w:r>
        <w:rPr>
          <w:rFonts w:hint="default" w:ascii="Times New Roman" w:hAnsi="Times New Roman"/>
        </w:rPr>
        <w:t>式中： t为扩散时间；T为非正常排放时间。</w:t>
      </w:r>
    </w:p>
    <w:p>
      <w:pPr>
        <w:pStyle w:val="23"/>
        <w:widowControl w:val="0"/>
        <w:spacing w:beforeAutospacing="0" w:afterAutospacing="0"/>
        <w:rPr>
          <w:rFonts w:hint="default" w:ascii="Times New Roman" w:hAnsi="Times New Roman"/>
        </w:rPr>
      </w:pPr>
      <w:r>
        <w:rPr>
          <w:rFonts w:hint="default" w:ascii="Times New Roman" w:hAnsi="Times New Roman"/>
        </w:rPr>
        <w:t>计算结果：发生油品泄漏事故时，可使下风向130m范围内的非甲烷总烃浓度超标，对周围环境影响相对较大。</w:t>
      </w:r>
    </w:p>
    <w:p>
      <w:pPr>
        <w:pStyle w:val="23"/>
        <w:widowControl w:val="0"/>
        <w:spacing w:beforeAutospacing="0" w:afterAutospacing="0"/>
        <w:rPr>
          <w:rFonts w:hint="default" w:ascii="Times New Roman" w:hAnsi="Times New Roman"/>
        </w:rPr>
      </w:pPr>
      <w:r>
        <w:rPr>
          <w:rFonts w:hint="default" w:ascii="Times New Roman" w:hAnsi="Times New Roman"/>
        </w:rPr>
        <w:t>环境风险原因分析：本项目为加油站，其环境风险本身具有不确定性，主要是加油站可能发生的泄漏、爆炸、火灾等风险，主要起因是管线及储油罐缺陷、焊缝开裂、基础工程不合格、管道腐蚀、违规操作、自然灾害等。如上述事故发生，则会产生破坏建筑物、危及人身安全、污染周围空气等影响。</w:t>
      </w:r>
    </w:p>
    <w:p>
      <w:pPr>
        <w:pStyle w:val="23"/>
        <w:widowControl w:val="0"/>
        <w:spacing w:beforeAutospacing="0" w:afterAutospacing="0"/>
        <w:rPr>
          <w:rFonts w:hint="default" w:ascii="Times New Roman" w:hAnsi="Times New Roman"/>
        </w:rPr>
      </w:pPr>
      <w:r>
        <w:rPr>
          <w:rFonts w:hint="default" w:ascii="Times New Roman" w:hAnsi="Times New Roman"/>
        </w:rPr>
        <w:t>环境风险概率分析：本项目属石化行业，石化储运系统存在较大潜在火灾爆炸事故风险，据“世界石油化工企业近30年的100起特大事故”统计分析，属于罐区事故为16次，占16%，属油船的为6次，占6%，属天然气为8次，占事故总数的8%。</w:t>
      </w:r>
    </w:p>
    <w:p>
      <w:pPr>
        <w:pStyle w:val="23"/>
        <w:widowControl w:val="0"/>
        <w:spacing w:beforeAutospacing="0" w:afterAutospacing="0"/>
        <w:rPr>
          <w:rFonts w:hint="default" w:ascii="Times New Roman" w:hAnsi="Times New Roman"/>
        </w:rPr>
      </w:pPr>
      <w:r>
        <w:rPr>
          <w:rFonts w:hint="default" w:ascii="Times New Roman" w:hAnsi="Times New Roman"/>
        </w:rPr>
        <w:t>根据对同类石化企业调查，表明在最近十年内发生的各类污染事故中，以设备、管道泄漏为多，占事故总数的52%；因操作不当等人为因素造成的事故占21%；污染处理系统故障造成的事故占15%，其他占12%。</w:t>
      </w:r>
    </w:p>
    <w:p>
      <w:pPr>
        <w:pStyle w:val="23"/>
        <w:widowControl w:val="0"/>
        <w:spacing w:beforeAutospacing="0" w:afterAutospacing="0"/>
        <w:rPr>
          <w:rFonts w:hint="default" w:ascii="Times New Roman" w:hAnsi="Times New Roman"/>
        </w:rPr>
      </w:pPr>
      <w:r>
        <w:rPr>
          <w:rFonts w:hint="default" w:ascii="Times New Roman" w:hAnsi="Times New Roman"/>
        </w:rPr>
        <w:t>此外，据贮罐事故分析报道，贮存系统发生火灾爆炸等重大事故概率小于万分之一，并随着近年来防灾技术水平的提高，呈下降趋势。</w:t>
      </w:r>
    </w:p>
    <w:p>
      <w:pPr>
        <w:autoSpaceDE w:val="0"/>
        <w:autoSpaceDN w:val="0"/>
        <w:adjustRightInd w:val="0"/>
        <w:snapToGrid w:val="0"/>
        <w:spacing w:beforeLines="100" w:afterLines="50" w:line="360" w:lineRule="auto"/>
        <w:jc w:val="left"/>
        <w:outlineLvl w:val="0"/>
        <w:rPr>
          <w:b/>
          <w:bCs/>
          <w:sz w:val="24"/>
        </w:rPr>
      </w:pPr>
      <w:bookmarkStart w:id="64" w:name="_Toc17927"/>
      <w:r>
        <w:rPr>
          <w:b/>
          <w:bCs/>
          <w:sz w:val="24"/>
        </w:rPr>
        <w:t>4.2.2其他突发事件情景分析</w:t>
      </w:r>
      <w:bookmarkEnd w:id="64"/>
    </w:p>
    <w:p>
      <w:pPr>
        <w:pStyle w:val="23"/>
        <w:widowControl w:val="0"/>
        <w:spacing w:beforeAutospacing="0" w:afterAutospacing="0"/>
        <w:rPr>
          <w:rFonts w:hint="default" w:ascii="Times New Roman" w:hAnsi="Times New Roman"/>
        </w:rPr>
      </w:pPr>
      <w:r>
        <w:rPr>
          <w:rFonts w:hint="default" w:ascii="Times New Roman" w:hAnsi="Times New Roman"/>
        </w:rPr>
        <w:t>加油站目前未建污水处理站，项目产生污水收集后委托当地污水处理厂处理，需加强管理，杜绝未处理直接外排。</w:t>
      </w:r>
    </w:p>
    <w:p>
      <w:pPr>
        <w:pStyle w:val="23"/>
        <w:widowControl w:val="0"/>
        <w:spacing w:beforeAutospacing="0" w:afterAutospacing="0"/>
        <w:rPr>
          <w:rFonts w:hint="default" w:ascii="Times New Roman" w:hAnsi="Times New Roman"/>
        </w:rPr>
      </w:pPr>
      <w:r>
        <w:rPr>
          <w:rFonts w:hint="default" w:ascii="Times New Roman" w:hAnsi="Times New Roman"/>
        </w:rPr>
        <w:t>废水违法处置排污：项目废水未经污水处理厂处理，直接排入外环境。</w:t>
      </w:r>
    </w:p>
    <w:p>
      <w:pPr>
        <w:pStyle w:val="23"/>
        <w:widowControl w:val="0"/>
        <w:spacing w:beforeAutospacing="0" w:afterAutospacing="0"/>
        <w:rPr>
          <w:rFonts w:hint="default" w:ascii="Times New Roman" w:hAnsi="Times New Roman"/>
        </w:rPr>
      </w:pPr>
      <w:r>
        <w:rPr>
          <w:rFonts w:hint="default" w:ascii="Times New Roman" w:hAnsi="Times New Roman"/>
        </w:rPr>
        <w:t>固体废物违法处置排放：包装运输过程中散落、泄漏的环境影响，危险化学品储存、运输过程中散落、泄漏时，若接触土壤或进入水体，则会对泄漏处的水环境和土壤造成污染。</w:t>
      </w:r>
    </w:p>
    <w:p>
      <w:pPr>
        <w:pStyle w:val="23"/>
        <w:widowControl w:val="0"/>
        <w:spacing w:beforeAutospacing="0" w:afterAutospacing="0"/>
        <w:rPr>
          <w:rFonts w:hint="default" w:ascii="Times New Roman" w:hAnsi="Times New Roman"/>
        </w:rPr>
      </w:pPr>
      <w:r>
        <w:rPr>
          <w:rFonts w:hint="default" w:ascii="Times New Roman" w:hAnsi="Times New Roman"/>
        </w:rPr>
        <w:t>堆放、贮存场所的环境影响：加油站危险废物（油泥、油渣含油消防沙等），若暂存间未按照要求严格做到防雨、防渗漏或暂存间的危险废物未得到及时清运，可能会造成泄漏等环境事故，从而造成对地下水及地表水环境及土壤的污染。</w:t>
      </w:r>
    </w:p>
    <w:p>
      <w:pPr>
        <w:autoSpaceDE w:val="0"/>
        <w:autoSpaceDN w:val="0"/>
        <w:adjustRightInd w:val="0"/>
        <w:snapToGrid w:val="0"/>
        <w:spacing w:beforeLines="100" w:afterLines="50" w:line="360" w:lineRule="auto"/>
        <w:jc w:val="left"/>
        <w:outlineLvl w:val="0"/>
        <w:rPr>
          <w:b/>
          <w:bCs/>
          <w:sz w:val="24"/>
        </w:rPr>
      </w:pPr>
      <w:bookmarkStart w:id="65" w:name="_Toc13763"/>
      <w:r>
        <w:rPr>
          <w:b/>
          <w:bCs/>
          <w:sz w:val="24"/>
        </w:rPr>
        <w:t>4.2.3停电、断水等</w:t>
      </w:r>
      <w:bookmarkEnd w:id="65"/>
    </w:p>
    <w:p>
      <w:pPr>
        <w:pStyle w:val="23"/>
        <w:widowControl w:val="0"/>
        <w:spacing w:beforeAutospacing="0" w:afterAutospacing="0"/>
        <w:rPr>
          <w:rFonts w:hint="default" w:ascii="Times New Roman" w:hAnsi="Times New Roman"/>
        </w:rPr>
      </w:pPr>
      <w:r>
        <w:rPr>
          <w:rFonts w:hint="default" w:ascii="Times New Roman" w:hAnsi="Times New Roman"/>
        </w:rPr>
        <w:t>断水的危险性：断水可能造成消防用水供水不可靠情况下，一旦发生火灾，无法及时用水灭火，会造成火灾的蔓延、扩大。当危险化学品喷溅于人体上，如人体部位受到腐蚀品、毒物玷污，不能用水立即冲洗，将延误现场急救时间，造成人员受伤。</w:t>
      </w:r>
    </w:p>
    <w:p>
      <w:pPr>
        <w:autoSpaceDE w:val="0"/>
        <w:autoSpaceDN w:val="0"/>
        <w:adjustRightInd w:val="0"/>
        <w:snapToGrid w:val="0"/>
        <w:spacing w:beforeLines="100" w:afterLines="50" w:line="360" w:lineRule="auto"/>
        <w:jc w:val="left"/>
        <w:outlineLvl w:val="0"/>
        <w:rPr>
          <w:b/>
          <w:bCs/>
          <w:sz w:val="24"/>
        </w:rPr>
      </w:pPr>
      <w:bookmarkStart w:id="66" w:name="_Toc7834"/>
      <w:r>
        <w:rPr>
          <w:b/>
          <w:bCs/>
          <w:sz w:val="24"/>
        </w:rPr>
        <w:t>4.2.4各种自然灾害、极端天气</w:t>
      </w:r>
      <w:bookmarkEnd w:id="66"/>
    </w:p>
    <w:p>
      <w:pPr>
        <w:pStyle w:val="23"/>
        <w:widowControl w:val="0"/>
        <w:spacing w:beforeAutospacing="0" w:afterAutospacing="0"/>
        <w:rPr>
          <w:rFonts w:hint="default" w:ascii="Times New Roman" w:hAnsi="Times New Roman"/>
        </w:rPr>
      </w:pPr>
      <w:r>
        <w:rPr>
          <w:rFonts w:hint="default" w:ascii="Times New Roman" w:hAnsi="Times New Roman"/>
        </w:rPr>
        <w:t>在暴雨天气、雷电、地震、大风、气温等各种自然灾害、极端天气，会对生产造成不利影响。加油站应做好防雷、抗震等措施，及时了解天气状况，做好突发环境应急措施。</w:t>
      </w:r>
    </w:p>
    <w:p>
      <w:pPr>
        <w:autoSpaceDE w:val="0"/>
        <w:autoSpaceDN w:val="0"/>
        <w:adjustRightInd w:val="0"/>
        <w:snapToGrid w:val="0"/>
        <w:spacing w:beforeLines="100" w:afterLines="50" w:line="360" w:lineRule="auto"/>
        <w:jc w:val="left"/>
        <w:outlineLvl w:val="0"/>
        <w:rPr>
          <w:rFonts w:hint="default" w:ascii="Times New Roman" w:hAnsi="Times New Roman" w:cs="Times New Roman"/>
          <w:b/>
          <w:bCs/>
          <w:sz w:val="24"/>
        </w:rPr>
      </w:pPr>
      <w:bookmarkStart w:id="67" w:name="_Toc17573"/>
      <w:r>
        <w:rPr>
          <w:rFonts w:ascii="Times New Roman" w:hAnsi="Times New Roman" w:cs="Times New Roman"/>
          <w:b/>
          <w:bCs/>
          <w:sz w:val="24"/>
        </w:rPr>
        <w:t>4.2.</w:t>
      </w:r>
      <w:r>
        <w:rPr>
          <w:rFonts w:hint="eastAsia" w:ascii="Times New Roman" w:hAnsi="Times New Roman" w:cs="Times New Roman"/>
          <w:b/>
          <w:bCs/>
          <w:sz w:val="24"/>
          <w:lang w:val="en-US" w:eastAsia="zh-CN"/>
        </w:rPr>
        <w:t>5</w:t>
      </w:r>
      <w:r>
        <w:rPr>
          <w:rFonts w:hint="eastAsia" w:ascii="Times New Roman" w:hAnsi="Times New Roman" w:cs="Times New Roman"/>
          <w:b/>
          <w:bCs/>
          <w:sz w:val="24"/>
        </w:rPr>
        <w:t>爆炸事故</w:t>
      </w:r>
      <w:r>
        <w:rPr>
          <w:rFonts w:hint="default" w:ascii="Times New Roman" w:hAnsi="Times New Roman" w:cs="Times New Roman"/>
          <w:b/>
          <w:bCs/>
          <w:sz w:val="24"/>
        </w:rPr>
        <w:t>对周围环境的影响分析</w:t>
      </w:r>
      <w:bookmarkEnd w:id="67"/>
    </w:p>
    <w:p>
      <w:pPr>
        <w:pStyle w:val="23"/>
        <w:widowControl w:val="0"/>
        <w:numPr>
          <w:ilvl w:val="0"/>
          <w:numId w:val="0"/>
        </w:numPr>
        <w:spacing w:beforeAutospacing="0" w:afterAutospacing="0"/>
        <w:ind w:firstLine="480"/>
        <w:rPr>
          <w:rFonts w:hint="eastAsia" w:ascii="Times New Roman" w:hAnsi="Times New Roman"/>
          <w:color w:val="FF0000"/>
          <w:lang w:val="en-US" w:eastAsia="zh-CN"/>
        </w:rPr>
      </w:pPr>
      <w:r>
        <w:rPr>
          <w:rFonts w:hint="eastAsia" w:ascii="Times New Roman" w:hAnsi="Times New Roman"/>
          <w:color w:val="FF0000"/>
          <w:lang w:val="en-US" w:eastAsia="zh-CN"/>
        </w:rPr>
        <w:t>汽油、柴油物质具有易燃性、易爆炸性、易挥发性、易扩散流淌性、静电荷积聚性、有毒性等危险、危害特性，由于加油站经营过程中大量贮存和销售汽油和柴油物质，决定了加油站具有一定的爆炸危险。</w:t>
      </w:r>
    </w:p>
    <w:p>
      <w:pPr>
        <w:pStyle w:val="23"/>
        <w:widowControl w:val="0"/>
        <w:numPr>
          <w:ilvl w:val="0"/>
          <w:numId w:val="0"/>
        </w:numPr>
        <w:spacing w:beforeAutospacing="0" w:afterAutospacing="0"/>
        <w:ind w:firstLine="480"/>
        <w:rPr>
          <w:rFonts w:hint="eastAsia" w:ascii="Times New Roman" w:hAnsi="Times New Roman"/>
          <w:color w:val="FF0000"/>
          <w:lang w:val="en-US" w:eastAsia="zh-CN"/>
        </w:rPr>
      </w:pPr>
      <w:r>
        <w:rPr>
          <w:rFonts w:hint="default" w:ascii="Times New Roman" w:hAnsi="Times New Roman"/>
          <w:color w:val="FF0000"/>
        </w:rPr>
        <w:t>本加油站风险评价选取汽</w:t>
      </w:r>
      <w:r>
        <w:rPr>
          <w:rFonts w:hint="eastAsia" w:ascii="Times New Roman" w:hAnsi="Times New Roman"/>
          <w:color w:val="FF0000"/>
          <w:lang w:val="en-US" w:eastAsia="zh-CN"/>
        </w:rPr>
        <w:t>温厚加油站油库、加油区域内及运输油品的车辆发生的重特大火灾爆炸事件等，对其进行事故发生原因、产生危害、对周围环境的影响三个方面进行分析。</w:t>
      </w:r>
    </w:p>
    <w:p>
      <w:pPr>
        <w:pStyle w:val="23"/>
        <w:widowControl w:val="0"/>
        <w:numPr>
          <w:ilvl w:val="0"/>
          <w:numId w:val="0"/>
        </w:numPr>
        <w:spacing w:beforeAutospacing="0" w:afterAutospacing="0"/>
        <w:ind w:firstLine="480"/>
        <w:rPr>
          <w:rFonts w:hint="eastAsia" w:ascii="Times New Roman" w:hAnsi="Times New Roman" w:cs="Times New Roman"/>
          <w:color w:val="FF0000"/>
          <w:lang w:val="en-US" w:eastAsia="zh-CN"/>
        </w:rPr>
      </w:pPr>
      <w:r>
        <w:rPr>
          <w:rFonts w:hint="eastAsia" w:ascii="Times New Roman" w:hAnsi="Times New Roman"/>
          <w:color w:val="FF0000"/>
          <w:lang w:val="en-US" w:eastAsia="zh-CN"/>
        </w:rPr>
        <w:t>加油站爆炸发生的主要原因：加油、卸油、量油过程中违章作业；设备或者管道</w:t>
      </w:r>
      <w:r>
        <w:rPr>
          <w:rFonts w:hint="eastAsia" w:ascii="Times New Roman" w:hAnsi="Times New Roman" w:cs="Times New Roman"/>
          <w:color w:val="FF0000"/>
          <w:lang w:val="en-US" w:eastAsia="zh-CN"/>
        </w:rPr>
        <w:t>严重腐蚀破裂、安全保障设施不完善等因素造成的汽油等易燃物质泄漏蔓延；点火源引起燃烧爆炸；油蒸汽比空气重，在泄漏后积聚在油罐观测口周围、地下管道沟、低洼地，遇到空气混合达到爆炸极限，形成爆炸性气体，一旦存在货源，即可发生爆炸事故。</w:t>
      </w:r>
    </w:p>
    <w:p>
      <w:pPr>
        <w:pStyle w:val="23"/>
        <w:widowControl w:val="0"/>
        <w:numPr>
          <w:ilvl w:val="0"/>
          <w:numId w:val="0"/>
        </w:numPr>
        <w:spacing w:beforeAutospacing="0" w:afterAutospacing="0"/>
        <w:ind w:firstLine="480"/>
        <w:rPr>
          <w:rFonts w:hint="eastAsia" w:ascii="Times New Roman" w:hAnsi="Times New Roman" w:cs="Times New Roman"/>
          <w:color w:val="FF0000"/>
          <w:lang w:val="en-US" w:eastAsia="zh-CN"/>
        </w:rPr>
      </w:pPr>
      <w:r>
        <w:rPr>
          <w:rFonts w:hint="eastAsia" w:ascii="Times New Roman" w:hAnsi="Times New Roman" w:cs="Times New Roman"/>
          <w:color w:val="FF0000"/>
          <w:lang w:val="en-US" w:eastAsia="zh-CN"/>
        </w:rPr>
        <w:t>加油站发生爆炸事故发生后会产生极其严重的危害性：站内工作人员及顾客生命财产安全得不到保障。</w:t>
      </w:r>
    </w:p>
    <w:p>
      <w:pPr>
        <w:pStyle w:val="23"/>
        <w:widowControl w:val="0"/>
        <w:spacing w:beforeAutospacing="0" w:afterAutospacing="0"/>
        <w:rPr>
          <w:rFonts w:hint="eastAsia" w:ascii="Times New Roman" w:hAnsi="Times New Roman" w:cs="Times New Roman"/>
          <w:color w:val="FF0000"/>
          <w:lang w:val="en-US" w:eastAsia="zh-CN"/>
        </w:rPr>
      </w:pPr>
      <w:r>
        <w:rPr>
          <w:rFonts w:hint="eastAsia" w:ascii="Times New Roman" w:hAnsi="Times New Roman" w:cs="Times New Roman"/>
          <w:color w:val="FF0000"/>
          <w:lang w:val="en-US" w:eastAsia="zh-CN"/>
        </w:rPr>
        <w:t>加油站爆炸事故一旦发生，不仅站内人员伤亡和设备设施的损坏，而且会严重威胁到加油站周围居民和环境，带来大量的人员伤亡、财产损失和社会影响。爆炸后它的主要威力会冲向两端的土壤，然后地面会隆起，抛出大量碎片。其爆炸火花半径可达35—60米，有效杀伤冲击波半径为100—150米，如果一个人在加油站爆炸时处于10米内可能会被炸碎，而35米远可能出现内脏破裂等现象。</w:t>
      </w:r>
      <w:r>
        <w:rPr>
          <w:rFonts w:hint="eastAsia" w:ascii="Times New Roman" w:hAnsi="Times New Roman" w:cs="Times New Roman"/>
          <w:color w:val="FF0000"/>
          <w:lang w:val="en-US" w:eastAsia="zh-CN"/>
        </w:rPr>
        <w:br w:type="textWrapping"/>
      </w:r>
      <w:r>
        <w:rPr>
          <w:rFonts w:hint="eastAsia" w:ascii="Times New Roman" w:hAnsi="Times New Roman" w:cs="Times New Roman"/>
          <w:color w:val="FF0000"/>
          <w:lang w:val="en-US" w:eastAsia="zh-CN"/>
        </w:rPr>
        <w:t>距离加油站200m左右不会产生碎片袭击和杂伤的可能。爆炸伴随浓烟和有毒易燃气体的挥发，也伴随着燃烧，不仅会</w:t>
      </w:r>
      <w:r>
        <w:rPr>
          <w:rFonts w:hint="default" w:ascii="Times New Roman" w:hAnsi="Times New Roman" w:cs="Times New Roman"/>
          <w:color w:val="FF0000"/>
          <w:lang w:val="en-US" w:eastAsia="zh-CN"/>
        </w:rPr>
        <w:t>造成对地下水及地表水环境及土壤的污染</w:t>
      </w:r>
      <w:r>
        <w:rPr>
          <w:rFonts w:hint="eastAsia" w:ascii="Times New Roman" w:hAnsi="Times New Roman" w:cs="Times New Roman"/>
          <w:color w:val="FF0000"/>
          <w:lang w:val="en-US" w:eastAsia="zh-CN"/>
        </w:rPr>
        <w:t>还会造成空气污染并且危害加油站周围200-500米之间的居民人身财产安全。</w:t>
      </w:r>
    </w:p>
    <w:p>
      <w:pPr>
        <w:pStyle w:val="23"/>
        <w:widowControl w:val="0"/>
        <w:spacing w:beforeAutospacing="0" w:afterAutospacing="0"/>
        <w:rPr>
          <w:rFonts w:hint="eastAsia" w:ascii="Times New Roman" w:hAnsi="Times New Roman" w:cs="Times New Roman"/>
          <w:color w:val="FF0000"/>
          <w:lang w:val="en-US" w:eastAsia="zh-CN"/>
        </w:rPr>
      </w:pPr>
    </w:p>
    <w:p>
      <w:pPr>
        <w:pStyle w:val="23"/>
        <w:widowControl w:val="0"/>
        <w:spacing w:beforeAutospacing="0" w:afterAutospacing="0"/>
        <w:rPr>
          <w:rFonts w:hint="eastAsia" w:ascii="Times New Roman" w:hAnsi="Times New Roman" w:cs="Times New Roman"/>
          <w:color w:val="FF0000"/>
          <w:lang w:val="en-US" w:eastAsia="zh-CN"/>
        </w:rPr>
      </w:pPr>
    </w:p>
    <w:p>
      <w:pPr>
        <w:pStyle w:val="23"/>
        <w:widowControl w:val="0"/>
        <w:spacing w:beforeAutospacing="0" w:afterAutospacing="0"/>
        <w:ind w:left="0" w:leftChars="0" w:firstLine="0" w:firstLineChars="0"/>
        <w:rPr>
          <w:rFonts w:hint="eastAsia" w:ascii="Times New Roman" w:hAnsi="Times New Roman" w:cs="Times New Roman"/>
          <w:color w:val="FF0000"/>
          <w:lang w:val="en-US" w:eastAsia="zh-CN"/>
        </w:rPr>
      </w:pPr>
    </w:p>
    <w:p>
      <w:pPr>
        <w:autoSpaceDE w:val="0"/>
        <w:autoSpaceDN w:val="0"/>
        <w:adjustRightInd w:val="0"/>
        <w:snapToGrid w:val="0"/>
        <w:spacing w:beforeLines="100" w:afterLines="50" w:line="360" w:lineRule="auto"/>
        <w:jc w:val="left"/>
        <w:outlineLvl w:val="0"/>
        <w:rPr>
          <w:b/>
          <w:bCs/>
          <w:sz w:val="24"/>
        </w:rPr>
      </w:pPr>
      <w:bookmarkStart w:id="68" w:name="_Toc22209"/>
      <w:r>
        <w:rPr>
          <w:b/>
          <w:bCs/>
          <w:sz w:val="24"/>
        </w:rPr>
        <w:t>4.3突发环境事件危害后果分析</w:t>
      </w:r>
      <w:bookmarkEnd w:id="68"/>
    </w:p>
    <w:p>
      <w:pPr>
        <w:pStyle w:val="23"/>
        <w:widowControl w:val="0"/>
        <w:spacing w:beforeAutospacing="0" w:afterAutospacing="0"/>
        <w:rPr>
          <w:rFonts w:hint="default" w:ascii="Times New Roman" w:hAnsi="Times New Roman"/>
        </w:rPr>
      </w:pPr>
      <w:r>
        <w:rPr>
          <w:rFonts w:ascii="Times New Roman" w:hAnsi="Times New Roman"/>
        </w:rPr>
        <w:t>1、</w:t>
      </w:r>
      <w:r>
        <w:rPr>
          <w:rFonts w:hint="default" w:ascii="Times New Roman" w:hAnsi="Times New Roman"/>
        </w:rPr>
        <w:t>汽油泄露：</w:t>
      </w:r>
    </w:p>
    <w:p>
      <w:pPr>
        <w:pStyle w:val="23"/>
        <w:widowControl w:val="0"/>
        <w:spacing w:beforeAutospacing="0" w:afterAutospacing="0"/>
        <w:rPr>
          <w:rFonts w:hint="default" w:ascii="Times New Roman" w:hAnsi="Times New Roman"/>
        </w:rPr>
      </w:pPr>
      <w:r>
        <w:rPr>
          <w:rFonts w:hint="default" w:ascii="Times New Roman" w:hAnsi="Times New Roman"/>
        </w:rPr>
        <w:t>汽油存在有毒或易燃易爆危险因素，如果发生泄露可能造成人员中毒窒息、火灾爆炸事故，对周围环境、水体、土壤造成污染。</w:t>
      </w:r>
    </w:p>
    <w:p>
      <w:pPr>
        <w:pStyle w:val="23"/>
        <w:widowControl w:val="0"/>
        <w:spacing w:beforeAutospacing="0" w:afterAutospacing="0"/>
        <w:rPr>
          <w:rFonts w:hint="default" w:ascii="Times New Roman" w:hAnsi="Times New Roman"/>
        </w:rPr>
      </w:pPr>
      <w:r>
        <w:rPr>
          <w:rFonts w:hint="default" w:ascii="Times New Roman" w:hAnsi="Times New Roman"/>
        </w:rPr>
        <w:t>2、危险废物泄露、不安全处置：</w:t>
      </w:r>
    </w:p>
    <w:p>
      <w:pPr>
        <w:pStyle w:val="23"/>
        <w:widowControl w:val="0"/>
        <w:spacing w:beforeAutospacing="0" w:afterAutospacing="0"/>
        <w:rPr>
          <w:rFonts w:hint="default" w:ascii="Times New Roman" w:hAnsi="Times New Roman"/>
        </w:rPr>
      </w:pPr>
      <w:r>
        <w:rPr>
          <w:rFonts w:hint="default" w:ascii="Times New Roman" w:hAnsi="Times New Roman"/>
        </w:rPr>
        <w:t>危险废物主要环境风险为管理不当导致未按规范存贮、运输过程发生事故对地表水体、土壤造成污染。</w:t>
      </w:r>
    </w:p>
    <w:p>
      <w:pPr>
        <w:widowControl/>
        <w:jc w:val="left"/>
        <w:rPr>
          <w:kern w:val="0"/>
          <w:sz w:val="24"/>
        </w:rPr>
      </w:pPr>
      <w:r>
        <w:br w:type="page"/>
      </w:r>
    </w:p>
    <w:p>
      <w:pPr>
        <w:autoSpaceDE w:val="0"/>
        <w:autoSpaceDN w:val="0"/>
        <w:adjustRightInd w:val="0"/>
        <w:snapToGrid w:val="0"/>
        <w:spacing w:beforeLines="100" w:afterLines="50" w:line="360" w:lineRule="auto"/>
        <w:jc w:val="center"/>
        <w:outlineLvl w:val="0"/>
        <w:rPr>
          <w:b/>
          <w:bCs/>
          <w:sz w:val="30"/>
          <w:szCs w:val="30"/>
        </w:rPr>
      </w:pPr>
      <w:bookmarkStart w:id="69" w:name="_Toc25061"/>
      <w:r>
        <w:rPr>
          <w:b/>
          <w:bCs/>
          <w:sz w:val="30"/>
          <w:szCs w:val="30"/>
        </w:rPr>
        <w:t>5、现有环境风险防控和应急措施差距分析</w:t>
      </w:r>
      <w:bookmarkEnd w:id="69"/>
    </w:p>
    <w:p>
      <w:pPr>
        <w:autoSpaceDE w:val="0"/>
        <w:autoSpaceDN w:val="0"/>
        <w:adjustRightInd w:val="0"/>
        <w:snapToGrid w:val="0"/>
        <w:spacing w:line="360" w:lineRule="auto"/>
        <w:jc w:val="left"/>
        <w:outlineLvl w:val="0"/>
        <w:rPr>
          <w:b/>
          <w:bCs/>
          <w:sz w:val="24"/>
        </w:rPr>
      </w:pPr>
      <w:bookmarkStart w:id="70" w:name="_Toc20867"/>
      <w:r>
        <w:rPr>
          <w:b/>
          <w:bCs/>
          <w:sz w:val="24"/>
        </w:rPr>
        <w:t>5.1 环境风险管理制度</w:t>
      </w:r>
      <w:bookmarkEnd w:id="70"/>
    </w:p>
    <w:p>
      <w:pPr>
        <w:spacing w:line="360" w:lineRule="auto"/>
        <w:ind w:firstLine="484" w:firstLineChars="200"/>
        <w:rPr>
          <w:spacing w:val="1"/>
          <w:kern w:val="0"/>
          <w:sz w:val="24"/>
        </w:rPr>
      </w:pPr>
      <w:r>
        <w:rPr>
          <w:spacing w:val="1"/>
          <w:kern w:val="0"/>
          <w:sz w:val="24"/>
        </w:rPr>
        <w:t>1、加油站针对站内环境风险单元，建立了环境风险防控和应急措施制度，明确了环境风险防控重点岗位的责任机构，成立公司应急领导小组。</w:t>
      </w:r>
    </w:p>
    <w:p>
      <w:pPr>
        <w:spacing w:line="360" w:lineRule="auto"/>
        <w:ind w:firstLine="484" w:firstLineChars="200"/>
        <w:rPr>
          <w:spacing w:val="1"/>
          <w:kern w:val="0"/>
          <w:sz w:val="24"/>
        </w:rPr>
      </w:pPr>
      <w:r>
        <w:rPr>
          <w:spacing w:val="1"/>
          <w:kern w:val="0"/>
          <w:sz w:val="24"/>
        </w:rPr>
        <w:t>2、针对重点风险源实行风险排查制度，对油罐区油罐、加油区加油机、油品输送管网、污水收集池、危险废物暂存设施定期检修、维护，责任到人。</w:t>
      </w:r>
    </w:p>
    <w:p>
      <w:pPr>
        <w:spacing w:line="360" w:lineRule="auto"/>
        <w:ind w:firstLine="484" w:firstLineChars="200"/>
        <w:rPr>
          <w:spacing w:val="1"/>
          <w:kern w:val="0"/>
          <w:sz w:val="24"/>
        </w:rPr>
      </w:pPr>
      <w:r>
        <w:rPr>
          <w:spacing w:val="1"/>
          <w:kern w:val="0"/>
          <w:sz w:val="24"/>
        </w:rPr>
        <w:t>3、</w:t>
      </w:r>
      <w:r>
        <w:rPr>
          <w:rFonts w:hint="eastAsia"/>
          <w:spacing w:val="1"/>
          <w:kern w:val="0"/>
          <w:sz w:val="24"/>
        </w:rPr>
        <w:t>中国</w:t>
      </w:r>
      <w:r>
        <w:rPr>
          <w:rFonts w:hint="eastAsia"/>
          <w:spacing w:val="1"/>
          <w:kern w:val="0"/>
          <w:sz w:val="24"/>
          <w:lang w:val="en-US" w:eastAsia="zh-CN"/>
        </w:rPr>
        <w:t>石油天然气</w:t>
      </w:r>
      <w:r>
        <w:rPr>
          <w:rFonts w:hint="eastAsia"/>
          <w:spacing w:val="1"/>
          <w:kern w:val="0"/>
          <w:sz w:val="24"/>
        </w:rPr>
        <w:t>有限公司江西南昌</w:t>
      </w:r>
      <w:r>
        <w:rPr>
          <w:rFonts w:hint="eastAsia"/>
          <w:spacing w:val="1"/>
          <w:kern w:val="0"/>
          <w:sz w:val="24"/>
          <w:lang w:val="en-US" w:eastAsia="zh-CN"/>
        </w:rPr>
        <w:t>双港大道</w:t>
      </w:r>
      <w:r>
        <w:rPr>
          <w:rFonts w:hint="eastAsia"/>
          <w:spacing w:val="1"/>
          <w:kern w:val="0"/>
          <w:sz w:val="24"/>
        </w:rPr>
        <w:t>加油站</w:t>
      </w:r>
      <w:r>
        <w:rPr>
          <w:spacing w:val="1"/>
          <w:kern w:val="0"/>
          <w:sz w:val="24"/>
        </w:rPr>
        <w:t>按照环保要求进行风险防控。</w:t>
      </w:r>
    </w:p>
    <w:p>
      <w:pPr>
        <w:spacing w:line="360" w:lineRule="auto"/>
        <w:ind w:firstLine="484" w:firstLineChars="200"/>
        <w:rPr>
          <w:spacing w:val="1"/>
          <w:kern w:val="0"/>
          <w:sz w:val="24"/>
        </w:rPr>
      </w:pPr>
      <w:r>
        <w:rPr>
          <w:spacing w:val="1"/>
          <w:kern w:val="0"/>
          <w:sz w:val="24"/>
        </w:rPr>
        <w:t>4、公司加油站应急预案体系中，明确规定应急救援组织机构相关职责，根据现场情况判断是否需要人员紧急疏散和抢救物资，如需紧急疏散须及时规定疏散路线和疏散路口；并及时协助站内员工和周围人员及居民的紧急疏散工作。同时向周边企业、村落提供本单位有关危险物质特性、应急措施、救援知识等。</w:t>
      </w:r>
    </w:p>
    <w:p>
      <w:pPr>
        <w:spacing w:line="360" w:lineRule="auto"/>
        <w:ind w:firstLine="484" w:firstLineChars="200"/>
        <w:rPr>
          <w:spacing w:val="1"/>
          <w:kern w:val="0"/>
          <w:sz w:val="24"/>
        </w:rPr>
      </w:pPr>
      <w:r>
        <w:rPr>
          <w:spacing w:val="1"/>
          <w:kern w:val="0"/>
          <w:sz w:val="24"/>
        </w:rPr>
        <w:t>5、定期对加油站职工开展环境风险和环境应急管理宣传和培训。在站区内张贴应急救援机构和人员、风险物质危险特性、急救措施、风险事故内部疏散路线等标识牌，定期组织员工进行专题培训。</w:t>
      </w:r>
    </w:p>
    <w:p>
      <w:pPr>
        <w:autoSpaceDE w:val="0"/>
        <w:autoSpaceDN w:val="0"/>
        <w:adjustRightInd w:val="0"/>
        <w:snapToGrid w:val="0"/>
        <w:spacing w:beforeLines="50" w:line="360" w:lineRule="auto"/>
        <w:jc w:val="left"/>
        <w:outlineLvl w:val="0"/>
        <w:rPr>
          <w:b/>
          <w:bCs/>
          <w:sz w:val="24"/>
        </w:rPr>
      </w:pPr>
      <w:bookmarkStart w:id="71" w:name="_Toc3892"/>
      <w:r>
        <w:rPr>
          <w:b/>
          <w:bCs/>
          <w:sz w:val="24"/>
        </w:rPr>
        <w:t>5.2环境风险防控与应急措施</w:t>
      </w:r>
      <w:bookmarkEnd w:id="71"/>
    </w:p>
    <w:p>
      <w:pPr>
        <w:autoSpaceDE w:val="0"/>
        <w:autoSpaceDN w:val="0"/>
        <w:adjustRightInd w:val="0"/>
        <w:snapToGrid w:val="0"/>
        <w:spacing w:beforeLines="50" w:line="360" w:lineRule="auto"/>
        <w:jc w:val="left"/>
        <w:outlineLvl w:val="0"/>
        <w:rPr>
          <w:b/>
          <w:bCs/>
          <w:sz w:val="24"/>
        </w:rPr>
      </w:pPr>
      <w:bookmarkStart w:id="72" w:name="_Toc12656"/>
      <w:r>
        <w:rPr>
          <w:b/>
          <w:bCs/>
          <w:sz w:val="24"/>
        </w:rPr>
        <w:t>5.2.1总图布置和建筑安全防范措施</w:t>
      </w:r>
      <w:bookmarkEnd w:id="72"/>
    </w:p>
    <w:p>
      <w:pPr>
        <w:spacing w:line="360" w:lineRule="auto"/>
        <w:ind w:firstLine="484" w:firstLineChars="200"/>
        <w:rPr>
          <w:spacing w:val="1"/>
          <w:kern w:val="0"/>
          <w:sz w:val="24"/>
        </w:rPr>
      </w:pPr>
      <w:r>
        <w:rPr>
          <w:spacing w:val="1"/>
          <w:kern w:val="0"/>
          <w:sz w:val="24"/>
        </w:rPr>
        <w:t>（1）总图布置</w:t>
      </w:r>
    </w:p>
    <w:p>
      <w:pPr>
        <w:spacing w:line="360" w:lineRule="auto"/>
        <w:ind w:firstLine="484" w:firstLineChars="200"/>
        <w:rPr>
          <w:spacing w:val="1"/>
          <w:kern w:val="0"/>
          <w:sz w:val="24"/>
        </w:rPr>
      </w:pPr>
      <w:r>
        <w:rPr>
          <w:spacing w:val="1"/>
          <w:kern w:val="0"/>
          <w:sz w:val="24"/>
        </w:rPr>
        <w:t>项目其地面建筑建设、地上营业室、储罐区、加油区建设以及所配套的安全、消防设施的平面布局等严格按《建筑设计防火规范》（GB50016-2014）设计。建设项目进行合理的功能分区，分区内部和相互之间保持一定的通道和安全间距。</w:t>
      </w:r>
    </w:p>
    <w:p>
      <w:pPr>
        <w:spacing w:line="360" w:lineRule="auto"/>
        <w:ind w:firstLine="484" w:firstLineChars="200"/>
        <w:rPr>
          <w:spacing w:val="1"/>
          <w:kern w:val="0"/>
          <w:sz w:val="24"/>
        </w:rPr>
      </w:pPr>
      <w:r>
        <w:rPr>
          <w:spacing w:val="1"/>
          <w:kern w:val="0"/>
          <w:sz w:val="24"/>
        </w:rPr>
        <w:t>（2）建筑安全防范</w:t>
      </w:r>
    </w:p>
    <w:p>
      <w:pPr>
        <w:spacing w:line="360" w:lineRule="auto"/>
        <w:ind w:firstLine="484" w:firstLineChars="200"/>
        <w:rPr>
          <w:spacing w:val="1"/>
          <w:kern w:val="0"/>
          <w:sz w:val="24"/>
        </w:rPr>
      </w:pPr>
      <w:r>
        <w:rPr>
          <w:spacing w:val="1"/>
          <w:kern w:val="0"/>
          <w:sz w:val="24"/>
        </w:rPr>
        <w:t>根据火灾危险性等级和防火、防爆要求，建筑物的防火等级均采用国家现行规范要求的耐火等级设计，满足建筑防火要求。凡禁火区均设置明显标志牌，化学品仓库不允许非工作人员随便入内，安全出口及安全疏散距离应符合《建筑设计防火规范》（GB50016-2014）的要求。在装置区设置救护箱，工作人员配备必要的个人防护用品。并定期对消防设施完整性就行检测，记录。</w:t>
      </w:r>
    </w:p>
    <w:p>
      <w:pPr>
        <w:autoSpaceDE w:val="0"/>
        <w:autoSpaceDN w:val="0"/>
        <w:adjustRightInd w:val="0"/>
        <w:snapToGrid w:val="0"/>
        <w:spacing w:beforeLines="100" w:afterLines="50" w:line="360" w:lineRule="auto"/>
        <w:jc w:val="left"/>
        <w:outlineLvl w:val="0"/>
        <w:rPr>
          <w:b/>
          <w:bCs/>
          <w:sz w:val="24"/>
        </w:rPr>
      </w:pPr>
      <w:bookmarkStart w:id="73" w:name="_Toc30211"/>
      <w:r>
        <w:rPr>
          <w:b/>
          <w:bCs/>
          <w:sz w:val="24"/>
        </w:rPr>
        <w:t>5.2.2安全防范措施</w:t>
      </w:r>
      <w:bookmarkEnd w:id="73"/>
    </w:p>
    <w:p>
      <w:pPr>
        <w:spacing w:line="360" w:lineRule="auto"/>
        <w:ind w:firstLine="484" w:firstLineChars="200"/>
        <w:rPr>
          <w:spacing w:val="1"/>
          <w:kern w:val="0"/>
          <w:sz w:val="24"/>
        </w:rPr>
      </w:pPr>
      <w:r>
        <w:rPr>
          <w:spacing w:val="1"/>
          <w:kern w:val="0"/>
          <w:sz w:val="24"/>
        </w:rPr>
        <w:t>（1）废水和收集池污泥泄露防范措施</w:t>
      </w:r>
    </w:p>
    <w:p>
      <w:pPr>
        <w:spacing w:line="360" w:lineRule="auto"/>
        <w:ind w:firstLine="484" w:firstLineChars="200"/>
        <w:rPr>
          <w:spacing w:val="1"/>
          <w:kern w:val="0"/>
          <w:sz w:val="24"/>
        </w:rPr>
      </w:pPr>
      <w:r>
        <w:rPr>
          <w:spacing w:val="1"/>
          <w:kern w:val="0"/>
          <w:sz w:val="24"/>
        </w:rPr>
        <w:t>站区实行雨污分流，防止雨季站区雨水形成的径流进入污水收集池和事故应急池。设专人定期排查，确保雨水排入雨水沟。</w:t>
      </w:r>
    </w:p>
    <w:p>
      <w:pPr>
        <w:spacing w:line="360" w:lineRule="auto"/>
        <w:ind w:firstLine="484" w:firstLineChars="200"/>
        <w:rPr>
          <w:spacing w:val="1"/>
          <w:kern w:val="0"/>
          <w:sz w:val="24"/>
        </w:rPr>
      </w:pPr>
      <w:r>
        <w:rPr>
          <w:spacing w:val="1"/>
          <w:kern w:val="0"/>
          <w:sz w:val="24"/>
        </w:rPr>
        <w:t>定期对污水收集系统设备进行维修，对废水收集管道和回用水管道进行排查，保证各阀门和管道的通畅。</w:t>
      </w:r>
    </w:p>
    <w:p>
      <w:pPr>
        <w:spacing w:line="360" w:lineRule="auto"/>
        <w:ind w:firstLine="484" w:firstLineChars="200"/>
        <w:rPr>
          <w:spacing w:val="1"/>
          <w:kern w:val="0"/>
          <w:sz w:val="24"/>
        </w:rPr>
      </w:pPr>
      <w:r>
        <w:rPr>
          <w:spacing w:val="1"/>
          <w:kern w:val="0"/>
          <w:sz w:val="24"/>
        </w:rPr>
        <w:t>在日常运营期间，保持事故池处于控制状态，保证在突发环境事故发生时，应急池有足够的容积来容纳事故废水。</w:t>
      </w:r>
    </w:p>
    <w:p>
      <w:pPr>
        <w:spacing w:line="360" w:lineRule="auto"/>
        <w:ind w:firstLine="484" w:firstLineChars="200"/>
        <w:rPr>
          <w:spacing w:val="1"/>
          <w:kern w:val="0"/>
          <w:sz w:val="24"/>
        </w:rPr>
      </w:pPr>
      <w:r>
        <w:rPr>
          <w:spacing w:val="1"/>
          <w:kern w:val="0"/>
          <w:sz w:val="24"/>
        </w:rPr>
        <w:t>（2）危险废物防范措施</w:t>
      </w:r>
    </w:p>
    <w:p>
      <w:pPr>
        <w:spacing w:line="360" w:lineRule="auto"/>
        <w:ind w:firstLine="484" w:firstLineChars="200"/>
        <w:rPr>
          <w:spacing w:val="1"/>
          <w:kern w:val="0"/>
          <w:sz w:val="24"/>
        </w:rPr>
      </w:pPr>
      <w:r>
        <w:rPr>
          <w:spacing w:val="1"/>
          <w:kern w:val="0"/>
          <w:sz w:val="24"/>
        </w:rPr>
        <w:t>加油站按“三防”要求设置危险废物暂存间，同时按危险废物暂存、处置相关规定制定管理制度，定负责人，定期巡回检查，以确保加油站危险废物安全收集、暂存和处置。</w:t>
      </w:r>
    </w:p>
    <w:p>
      <w:pPr>
        <w:spacing w:line="360" w:lineRule="auto"/>
        <w:ind w:firstLine="484" w:firstLineChars="200"/>
        <w:rPr>
          <w:spacing w:val="1"/>
          <w:kern w:val="0"/>
          <w:sz w:val="24"/>
        </w:rPr>
      </w:pPr>
      <w:r>
        <w:rPr>
          <w:spacing w:val="1"/>
          <w:kern w:val="0"/>
          <w:sz w:val="24"/>
        </w:rPr>
        <w:t>危险废物主要环境风险为管理不当导致未按规范存贮、运输过程发生事故对地表水体、土壤造成污染。为避免危险废物管理、运输等活动处置不当导致的环境风险，本次评价提出如下措施：</w:t>
      </w:r>
    </w:p>
    <w:p>
      <w:pPr>
        <w:spacing w:line="360" w:lineRule="auto"/>
        <w:ind w:firstLine="484" w:firstLineChars="200"/>
        <w:rPr>
          <w:spacing w:val="1"/>
          <w:kern w:val="0"/>
          <w:sz w:val="24"/>
        </w:rPr>
      </w:pPr>
      <w:r>
        <w:rPr>
          <w:spacing w:val="1"/>
          <w:kern w:val="0"/>
          <w:sz w:val="24"/>
        </w:rPr>
        <w:t>1）危险废物暂存间必须做到防雨、防渗、防流失；</w:t>
      </w:r>
    </w:p>
    <w:p>
      <w:pPr>
        <w:spacing w:line="360" w:lineRule="auto"/>
        <w:ind w:firstLine="484" w:firstLineChars="200"/>
        <w:rPr>
          <w:spacing w:val="1"/>
          <w:kern w:val="0"/>
          <w:sz w:val="24"/>
        </w:rPr>
      </w:pPr>
      <w:r>
        <w:rPr>
          <w:spacing w:val="1"/>
          <w:kern w:val="0"/>
          <w:sz w:val="24"/>
        </w:rPr>
        <w:t>2）危险废物暂存间须设置明显的警示标识，加强管理，防止不安全处置；</w:t>
      </w:r>
    </w:p>
    <w:p>
      <w:pPr>
        <w:spacing w:line="360" w:lineRule="auto"/>
        <w:ind w:firstLine="484" w:firstLineChars="200"/>
        <w:rPr>
          <w:spacing w:val="1"/>
          <w:kern w:val="0"/>
          <w:sz w:val="24"/>
        </w:rPr>
      </w:pPr>
      <w:r>
        <w:rPr>
          <w:spacing w:val="1"/>
          <w:kern w:val="0"/>
          <w:sz w:val="24"/>
        </w:rPr>
        <w:t>3）危险废物应当进行分类收集，交</w:t>
      </w:r>
      <w:r>
        <w:rPr>
          <w:sz w:val="24"/>
        </w:rPr>
        <w:t>由有资质单位</w:t>
      </w:r>
      <w:r>
        <w:rPr>
          <w:spacing w:val="1"/>
          <w:kern w:val="0"/>
          <w:sz w:val="24"/>
        </w:rPr>
        <w:t>清运、处理。</w:t>
      </w:r>
    </w:p>
    <w:p>
      <w:pPr>
        <w:spacing w:line="360" w:lineRule="auto"/>
        <w:ind w:firstLine="484" w:firstLineChars="200"/>
        <w:rPr>
          <w:spacing w:val="1"/>
          <w:kern w:val="0"/>
          <w:sz w:val="24"/>
        </w:rPr>
      </w:pPr>
      <w:r>
        <w:rPr>
          <w:spacing w:val="1"/>
          <w:kern w:val="0"/>
          <w:sz w:val="24"/>
        </w:rPr>
        <w:t>4）禁止将危险废物混入其它废物或生活垃圾；</w:t>
      </w:r>
    </w:p>
    <w:p>
      <w:pPr>
        <w:spacing w:line="360" w:lineRule="auto"/>
        <w:ind w:firstLine="484" w:firstLineChars="200"/>
        <w:rPr>
          <w:spacing w:val="1"/>
          <w:kern w:val="0"/>
          <w:sz w:val="24"/>
        </w:rPr>
      </w:pPr>
      <w:r>
        <w:rPr>
          <w:spacing w:val="1"/>
          <w:kern w:val="0"/>
          <w:sz w:val="24"/>
        </w:rPr>
        <w:t>5）依照危险废物转移联单制度填写和保存转移联单。</w:t>
      </w:r>
    </w:p>
    <w:p>
      <w:pPr>
        <w:spacing w:line="360" w:lineRule="auto"/>
        <w:ind w:firstLine="484" w:firstLineChars="200"/>
        <w:rPr>
          <w:spacing w:val="1"/>
          <w:kern w:val="0"/>
          <w:sz w:val="24"/>
        </w:rPr>
      </w:pPr>
      <w:r>
        <w:rPr>
          <w:spacing w:val="1"/>
          <w:kern w:val="0"/>
          <w:sz w:val="24"/>
        </w:rPr>
        <w:t>6）危险废物运输车辆应符合相关规范、驾驶人员必须持证作业；</w:t>
      </w:r>
    </w:p>
    <w:p>
      <w:pPr>
        <w:spacing w:line="360" w:lineRule="auto"/>
        <w:ind w:firstLine="484" w:firstLineChars="200"/>
        <w:rPr>
          <w:spacing w:val="1"/>
          <w:kern w:val="0"/>
          <w:sz w:val="24"/>
        </w:rPr>
      </w:pPr>
      <w:r>
        <w:rPr>
          <w:spacing w:val="1"/>
          <w:kern w:val="0"/>
          <w:sz w:val="24"/>
        </w:rPr>
        <w:t>7）制定科学的运输路线，运输路线须避开水沟等地表水体；</w:t>
      </w:r>
    </w:p>
    <w:p>
      <w:pPr>
        <w:spacing w:line="360" w:lineRule="auto"/>
        <w:ind w:firstLine="484" w:firstLineChars="200"/>
        <w:rPr>
          <w:sz w:val="24"/>
        </w:rPr>
      </w:pPr>
      <w:r>
        <w:rPr>
          <w:spacing w:val="1"/>
          <w:kern w:val="0"/>
          <w:sz w:val="24"/>
        </w:rPr>
        <w:t>8）制定突发环境事件应急预案，将危险废物运输事故列入应急预案风险源中，并制定应急措施。</w:t>
      </w:r>
    </w:p>
    <w:p>
      <w:pPr>
        <w:spacing w:line="360" w:lineRule="auto"/>
        <w:ind w:firstLine="484" w:firstLineChars="200"/>
        <w:rPr>
          <w:spacing w:val="1"/>
          <w:kern w:val="0"/>
          <w:sz w:val="24"/>
        </w:rPr>
      </w:pPr>
      <w:r>
        <w:rPr>
          <w:spacing w:val="1"/>
          <w:kern w:val="0"/>
          <w:sz w:val="24"/>
        </w:rPr>
        <w:t>（3）风险管理措施</w:t>
      </w:r>
    </w:p>
    <w:p>
      <w:pPr>
        <w:spacing w:line="360" w:lineRule="auto"/>
        <w:ind w:firstLine="484" w:firstLineChars="200"/>
        <w:rPr>
          <w:spacing w:val="1"/>
          <w:kern w:val="0"/>
          <w:sz w:val="24"/>
        </w:rPr>
      </w:pPr>
      <w:r>
        <w:rPr>
          <w:spacing w:val="1"/>
          <w:kern w:val="0"/>
          <w:sz w:val="24"/>
        </w:rPr>
        <w:t>公司编制了应急预案，建立了事故应急救援队伍，明确各应急小组职责，详见应急预案。</w:t>
      </w:r>
    </w:p>
    <w:p>
      <w:pPr>
        <w:spacing w:line="360" w:lineRule="auto"/>
        <w:ind w:firstLine="484" w:firstLineChars="200"/>
        <w:rPr>
          <w:spacing w:val="1"/>
          <w:kern w:val="0"/>
          <w:sz w:val="24"/>
        </w:rPr>
      </w:pPr>
      <w:r>
        <w:rPr>
          <w:spacing w:val="1"/>
          <w:kern w:val="0"/>
          <w:sz w:val="24"/>
        </w:rPr>
        <w:t>加油站定期对加油人员进行安全生产与安全知识培训和进行事故处理培训，并制定严格的考核员工安全操作规程，保证劳动安全，防止意外事故的发生。实行奖惩机制，责任到人。加强对员工的突发事故应急培训，以减轻发生环境突发事故的危害。</w:t>
      </w:r>
    </w:p>
    <w:p>
      <w:pPr>
        <w:autoSpaceDE w:val="0"/>
        <w:autoSpaceDN w:val="0"/>
        <w:adjustRightInd w:val="0"/>
        <w:snapToGrid w:val="0"/>
        <w:spacing w:beforeLines="100" w:afterLines="50" w:line="360" w:lineRule="auto"/>
        <w:jc w:val="left"/>
        <w:outlineLvl w:val="0"/>
        <w:rPr>
          <w:b/>
          <w:bCs/>
          <w:sz w:val="24"/>
        </w:rPr>
      </w:pPr>
      <w:bookmarkStart w:id="74" w:name="_Toc12004"/>
      <w:r>
        <w:rPr>
          <w:b/>
          <w:bCs/>
          <w:sz w:val="24"/>
        </w:rPr>
        <w:t>5.2.3泄漏、火灾应急措施</w:t>
      </w:r>
      <w:bookmarkEnd w:id="74"/>
    </w:p>
    <w:p>
      <w:pPr>
        <w:spacing w:line="360" w:lineRule="auto"/>
        <w:ind w:firstLine="484" w:firstLineChars="200"/>
        <w:rPr>
          <w:spacing w:val="1"/>
          <w:kern w:val="0"/>
          <w:sz w:val="24"/>
        </w:rPr>
      </w:pPr>
      <w:r>
        <w:rPr>
          <w:spacing w:val="1"/>
          <w:kern w:val="0"/>
          <w:sz w:val="24"/>
        </w:rPr>
        <w:t>1、加油站污水泄露措施</w:t>
      </w:r>
    </w:p>
    <w:p>
      <w:pPr>
        <w:spacing w:line="360" w:lineRule="auto"/>
        <w:ind w:firstLine="484" w:firstLineChars="200"/>
        <w:rPr>
          <w:spacing w:val="1"/>
          <w:kern w:val="0"/>
          <w:sz w:val="24"/>
        </w:rPr>
      </w:pPr>
      <w:r>
        <w:rPr>
          <w:spacing w:val="1"/>
          <w:kern w:val="0"/>
          <w:sz w:val="24"/>
        </w:rPr>
        <w:t>项目内污水发生泄露，要及时收集到事故池，处置泄漏点。收集后经污水处理厂处理达标后外排。</w:t>
      </w:r>
    </w:p>
    <w:p>
      <w:pPr>
        <w:spacing w:line="360" w:lineRule="auto"/>
        <w:ind w:firstLine="484" w:firstLineChars="200"/>
        <w:rPr>
          <w:spacing w:val="1"/>
          <w:kern w:val="0"/>
          <w:sz w:val="24"/>
        </w:rPr>
      </w:pPr>
      <w:r>
        <w:rPr>
          <w:spacing w:val="1"/>
          <w:kern w:val="0"/>
          <w:sz w:val="24"/>
        </w:rPr>
        <w:t>2、危险化学品泄露应急措施</w:t>
      </w:r>
    </w:p>
    <w:p>
      <w:pPr>
        <w:spacing w:line="360" w:lineRule="auto"/>
        <w:ind w:firstLine="484" w:firstLineChars="200"/>
        <w:rPr>
          <w:spacing w:val="1"/>
          <w:kern w:val="0"/>
          <w:sz w:val="24"/>
        </w:rPr>
      </w:pPr>
      <w:r>
        <w:rPr>
          <w:spacing w:val="1"/>
          <w:kern w:val="0"/>
          <w:sz w:val="24"/>
        </w:rPr>
        <w:t>加油站危险化学品主要是汽油，发生泄露后应及时收集，对现场进行洗消处理；</w:t>
      </w:r>
    </w:p>
    <w:p>
      <w:pPr>
        <w:spacing w:line="360" w:lineRule="auto"/>
        <w:ind w:firstLine="484" w:firstLineChars="200"/>
        <w:rPr>
          <w:spacing w:val="1"/>
          <w:kern w:val="0"/>
          <w:sz w:val="24"/>
        </w:rPr>
      </w:pPr>
      <w:r>
        <w:rPr>
          <w:spacing w:val="1"/>
          <w:kern w:val="0"/>
          <w:sz w:val="24"/>
        </w:rPr>
        <w:t>防护措施</w:t>
      </w:r>
    </w:p>
    <w:p>
      <w:pPr>
        <w:spacing w:line="360" w:lineRule="auto"/>
        <w:ind w:firstLine="484" w:firstLineChars="200"/>
        <w:rPr>
          <w:spacing w:val="1"/>
          <w:kern w:val="0"/>
          <w:sz w:val="24"/>
        </w:rPr>
      </w:pPr>
      <w:r>
        <w:rPr>
          <w:spacing w:val="1"/>
          <w:kern w:val="0"/>
          <w:sz w:val="24"/>
        </w:rPr>
        <w:t>①呼吸系统防护：应急处理人员戴好防毒面具，建议佩带自给式呼吸器。</w:t>
      </w:r>
    </w:p>
    <w:p>
      <w:pPr>
        <w:spacing w:line="360" w:lineRule="auto"/>
        <w:ind w:firstLine="484" w:firstLineChars="200"/>
        <w:rPr>
          <w:spacing w:val="1"/>
          <w:kern w:val="0"/>
          <w:sz w:val="24"/>
        </w:rPr>
      </w:pPr>
      <w:r>
        <w:rPr>
          <w:spacing w:val="1"/>
          <w:kern w:val="0"/>
          <w:sz w:val="24"/>
        </w:rPr>
        <w:t>②眼睛防护：戴化学安全防护眼镜。</w:t>
      </w:r>
    </w:p>
    <w:p>
      <w:pPr>
        <w:spacing w:line="360" w:lineRule="auto"/>
        <w:ind w:firstLine="484" w:firstLineChars="200"/>
        <w:rPr>
          <w:spacing w:val="1"/>
          <w:kern w:val="0"/>
          <w:sz w:val="24"/>
        </w:rPr>
      </w:pPr>
      <w:r>
        <w:rPr>
          <w:spacing w:val="1"/>
          <w:kern w:val="0"/>
          <w:sz w:val="24"/>
        </w:rPr>
        <w:t>③身体防护：穿工作服(防静电)。</w:t>
      </w:r>
    </w:p>
    <w:p>
      <w:pPr>
        <w:spacing w:line="360" w:lineRule="auto"/>
        <w:ind w:firstLine="484" w:firstLineChars="200"/>
        <w:rPr>
          <w:spacing w:val="1"/>
          <w:kern w:val="0"/>
          <w:sz w:val="24"/>
        </w:rPr>
      </w:pPr>
      <w:r>
        <w:rPr>
          <w:spacing w:val="1"/>
          <w:kern w:val="0"/>
          <w:sz w:val="24"/>
        </w:rPr>
        <w:t>④手防护：戴橡胶防护手套。</w:t>
      </w:r>
    </w:p>
    <w:p>
      <w:pPr>
        <w:spacing w:line="360" w:lineRule="auto"/>
        <w:ind w:firstLine="484" w:firstLineChars="200"/>
        <w:rPr>
          <w:spacing w:val="1"/>
          <w:kern w:val="0"/>
          <w:sz w:val="24"/>
        </w:rPr>
      </w:pPr>
      <w:r>
        <w:rPr>
          <w:spacing w:val="1"/>
          <w:kern w:val="0"/>
          <w:sz w:val="24"/>
        </w:rPr>
        <w:t>⑤其它：严禁烟火、工作后，淋浴更衣。</w:t>
      </w:r>
    </w:p>
    <w:p>
      <w:pPr>
        <w:spacing w:line="360" w:lineRule="auto"/>
        <w:ind w:firstLine="484" w:firstLineChars="200"/>
        <w:rPr>
          <w:spacing w:val="1"/>
          <w:kern w:val="0"/>
          <w:sz w:val="24"/>
        </w:rPr>
      </w:pPr>
      <w:r>
        <w:rPr>
          <w:spacing w:val="1"/>
          <w:kern w:val="0"/>
          <w:sz w:val="24"/>
        </w:rPr>
        <w:t>3、火灾事故管理程序</w:t>
      </w:r>
    </w:p>
    <w:p>
      <w:pPr>
        <w:spacing w:line="360" w:lineRule="auto"/>
        <w:ind w:firstLine="484" w:firstLineChars="200"/>
        <w:rPr>
          <w:spacing w:val="1"/>
          <w:kern w:val="0"/>
          <w:sz w:val="24"/>
        </w:rPr>
      </w:pPr>
      <w:r>
        <w:rPr>
          <w:spacing w:val="1"/>
          <w:kern w:val="0"/>
          <w:sz w:val="24"/>
        </w:rPr>
        <w:t>针对加油站工作场所所发生的火灾事故的应急和预防，项目详细地规定了当火灾事故发生时各级领导及各部门的职责，并制定了事故发生时采取的应急准备和应急计划。</w:t>
      </w:r>
    </w:p>
    <w:p>
      <w:pPr>
        <w:spacing w:line="360" w:lineRule="auto"/>
        <w:ind w:firstLine="484" w:firstLineChars="200"/>
        <w:rPr>
          <w:spacing w:val="1"/>
          <w:kern w:val="0"/>
          <w:sz w:val="24"/>
        </w:rPr>
      </w:pPr>
      <w:r>
        <w:rPr>
          <w:spacing w:val="1"/>
          <w:kern w:val="0"/>
          <w:sz w:val="24"/>
        </w:rPr>
        <w:t>当发生火灾事故时立即启动程序，即事故发生岗位或所在部门应立即报消防队。值班负责人应根据事故灾情具体情况、环境污染情况组织应急救援。消防队接警后出动消防车，及时控制火势、抢救伤员、扑灭火灾，防止环境污染的发生和扩大。事故后组织有关人员进行事故调查，并向主管单位报告火灾事故，由消防抢险队按“消防联防要求”报 “110”指挥中心。安全、环保等部门负责人在现场确认应急措施的效果，并随时准备提供新的应急措施。在污染可能对外部环境发生影响时，向地方公安机关通报，并向地方政府通报，由环保人员向地方环保部门通报。火灾事故处理完毕后，组织有关人员进行“事故报告”的审定和事故“四不放过”措施。</w:t>
      </w:r>
    </w:p>
    <w:p>
      <w:pPr>
        <w:spacing w:line="360" w:lineRule="auto"/>
        <w:ind w:firstLine="484" w:firstLineChars="200"/>
        <w:rPr>
          <w:spacing w:val="1"/>
          <w:kern w:val="0"/>
          <w:sz w:val="24"/>
        </w:rPr>
      </w:pPr>
      <w:r>
        <w:rPr>
          <w:spacing w:val="1"/>
          <w:kern w:val="0"/>
          <w:sz w:val="24"/>
        </w:rPr>
        <w:t>启用该程序，可以有效地对火灾事故进行救援和处理，减少事故造成的损失。</w:t>
      </w:r>
    </w:p>
    <w:p>
      <w:pPr>
        <w:autoSpaceDE w:val="0"/>
        <w:autoSpaceDN w:val="0"/>
        <w:adjustRightInd w:val="0"/>
        <w:snapToGrid w:val="0"/>
        <w:spacing w:beforeLines="100" w:afterLines="50" w:line="360" w:lineRule="auto"/>
        <w:jc w:val="left"/>
        <w:outlineLvl w:val="0"/>
        <w:rPr>
          <w:b/>
          <w:bCs/>
          <w:sz w:val="24"/>
        </w:rPr>
      </w:pPr>
      <w:bookmarkStart w:id="75" w:name="_Toc5924"/>
      <w:r>
        <w:rPr>
          <w:b/>
          <w:bCs/>
          <w:sz w:val="24"/>
        </w:rPr>
        <w:t>5.2.4电气、电讯安全防范措施</w:t>
      </w:r>
      <w:bookmarkEnd w:id="75"/>
    </w:p>
    <w:p>
      <w:pPr>
        <w:spacing w:line="360" w:lineRule="auto"/>
        <w:ind w:firstLine="484" w:firstLineChars="200"/>
        <w:rPr>
          <w:spacing w:val="1"/>
          <w:kern w:val="0"/>
          <w:sz w:val="24"/>
        </w:rPr>
      </w:pPr>
      <w:r>
        <w:rPr>
          <w:spacing w:val="1"/>
          <w:kern w:val="0"/>
          <w:sz w:val="24"/>
        </w:rPr>
        <w:t>各单元均设静电接地、电器短路保护等，作业场所均设防静电接电装置，防静电接地电阻每年检测两次，且电阻值合格。总配电间，发电房设有应急灯。</w:t>
      </w:r>
    </w:p>
    <w:p>
      <w:pPr>
        <w:autoSpaceDE w:val="0"/>
        <w:autoSpaceDN w:val="0"/>
        <w:adjustRightInd w:val="0"/>
        <w:snapToGrid w:val="0"/>
        <w:spacing w:beforeLines="100" w:afterLines="50" w:line="360" w:lineRule="auto"/>
        <w:jc w:val="left"/>
        <w:outlineLvl w:val="0"/>
        <w:rPr>
          <w:b/>
          <w:bCs/>
          <w:sz w:val="24"/>
        </w:rPr>
      </w:pPr>
      <w:bookmarkStart w:id="76" w:name="_Toc29099"/>
      <w:r>
        <w:rPr>
          <w:b/>
          <w:bCs/>
          <w:sz w:val="24"/>
        </w:rPr>
        <w:t>5.2.5消防及火灾报警系统</w:t>
      </w:r>
      <w:bookmarkEnd w:id="76"/>
    </w:p>
    <w:p>
      <w:pPr>
        <w:spacing w:line="360" w:lineRule="auto"/>
        <w:ind w:firstLine="484" w:firstLineChars="200"/>
        <w:rPr>
          <w:spacing w:val="1"/>
          <w:kern w:val="0"/>
          <w:sz w:val="24"/>
        </w:rPr>
      </w:pPr>
      <w:r>
        <w:rPr>
          <w:spacing w:val="1"/>
          <w:kern w:val="0"/>
          <w:sz w:val="24"/>
        </w:rPr>
        <w:t>项目火灾报警和通讯联络设施需完好、畅通、有效。消防设施应每半年进行一次保养，确保安全使用、有效。此外，还应采取的相关对策措施：</w:t>
      </w:r>
    </w:p>
    <w:p>
      <w:pPr>
        <w:spacing w:line="360" w:lineRule="auto"/>
        <w:ind w:firstLine="484" w:firstLineChars="200"/>
        <w:rPr>
          <w:spacing w:val="1"/>
          <w:kern w:val="0"/>
          <w:sz w:val="24"/>
        </w:rPr>
      </w:pPr>
      <w:r>
        <w:rPr>
          <w:spacing w:val="1"/>
          <w:kern w:val="0"/>
          <w:sz w:val="24"/>
        </w:rPr>
        <w:t>（1）消防器材应由专业人员管理，并定期组织检验、维修，确保消防设施和器材的完好、有效并能随时取用，防雨防晒；</w:t>
      </w:r>
    </w:p>
    <w:p>
      <w:pPr>
        <w:spacing w:line="360" w:lineRule="auto"/>
        <w:ind w:firstLine="484" w:firstLineChars="200"/>
        <w:rPr>
          <w:spacing w:val="1"/>
          <w:kern w:val="0"/>
          <w:sz w:val="24"/>
        </w:rPr>
      </w:pPr>
      <w:r>
        <w:rPr>
          <w:spacing w:val="1"/>
          <w:kern w:val="0"/>
          <w:sz w:val="24"/>
        </w:rPr>
        <w:t>（2）应制订消防安全管理制度、消防安全操作规程；</w:t>
      </w:r>
    </w:p>
    <w:p>
      <w:pPr>
        <w:spacing w:line="360" w:lineRule="auto"/>
        <w:ind w:firstLine="484" w:firstLineChars="200"/>
        <w:rPr>
          <w:spacing w:val="1"/>
          <w:kern w:val="0"/>
          <w:sz w:val="24"/>
        </w:rPr>
      </w:pPr>
      <w:r>
        <w:rPr>
          <w:spacing w:val="1"/>
          <w:kern w:val="0"/>
          <w:sz w:val="24"/>
        </w:rPr>
        <w:t>（3）确定单位和所属各部门、岗位的消防安全责任人；</w:t>
      </w:r>
    </w:p>
    <w:p>
      <w:pPr>
        <w:spacing w:line="360" w:lineRule="auto"/>
        <w:ind w:firstLine="484" w:firstLineChars="200"/>
        <w:rPr>
          <w:spacing w:val="1"/>
          <w:kern w:val="0"/>
          <w:sz w:val="24"/>
        </w:rPr>
      </w:pPr>
      <w:r>
        <w:rPr>
          <w:spacing w:val="1"/>
          <w:kern w:val="0"/>
          <w:sz w:val="24"/>
        </w:rPr>
        <w:t>（4）定期组织防火检查，及时消除火灾隐患；</w:t>
      </w:r>
    </w:p>
    <w:p>
      <w:pPr>
        <w:spacing w:line="360" w:lineRule="auto"/>
        <w:ind w:firstLine="484" w:firstLineChars="200"/>
        <w:rPr>
          <w:spacing w:val="1"/>
          <w:kern w:val="0"/>
          <w:sz w:val="24"/>
        </w:rPr>
      </w:pPr>
      <w:r>
        <w:rPr>
          <w:spacing w:val="1"/>
          <w:kern w:val="0"/>
          <w:sz w:val="24"/>
        </w:rPr>
        <w:t>（5）建立防火档案，确定消防安全重点部位，设置防火标志，实行严格管理；</w:t>
      </w:r>
    </w:p>
    <w:p>
      <w:pPr>
        <w:spacing w:line="360" w:lineRule="auto"/>
        <w:ind w:firstLine="484" w:firstLineChars="200"/>
        <w:rPr>
          <w:spacing w:val="1"/>
          <w:kern w:val="0"/>
          <w:sz w:val="24"/>
        </w:rPr>
      </w:pPr>
      <w:r>
        <w:rPr>
          <w:spacing w:val="1"/>
          <w:kern w:val="0"/>
          <w:sz w:val="24"/>
        </w:rPr>
        <w:t>（6）对职工进行消防安全培训，制定灭火和应急疏散预案，定期组织、消防演练。</w:t>
      </w:r>
    </w:p>
    <w:p>
      <w:pPr>
        <w:spacing w:line="360" w:lineRule="auto"/>
        <w:ind w:firstLine="484" w:firstLineChars="200"/>
        <w:rPr>
          <w:spacing w:val="1"/>
          <w:kern w:val="0"/>
          <w:sz w:val="24"/>
        </w:rPr>
      </w:pPr>
      <w:r>
        <w:rPr>
          <w:spacing w:val="1"/>
          <w:kern w:val="0"/>
          <w:sz w:val="24"/>
        </w:rPr>
        <w:t>（7）设置应急池，完善废水收集系统，保证各单元发生事故时，泄漏物料或消防、冲洗废水能迅速、安全地集中到应急池，进行必要的处理。</w:t>
      </w:r>
    </w:p>
    <w:p>
      <w:pPr>
        <w:spacing w:line="360" w:lineRule="auto"/>
        <w:ind w:firstLine="484" w:firstLineChars="200"/>
        <w:rPr>
          <w:spacing w:val="1"/>
          <w:kern w:val="0"/>
          <w:sz w:val="24"/>
        </w:rPr>
      </w:pPr>
      <w:r>
        <w:rPr>
          <w:spacing w:val="1"/>
          <w:kern w:val="0"/>
          <w:sz w:val="24"/>
        </w:rPr>
        <w:t>（8）火灾报警系统：根据需要设置报警装置，火灾报警信号报至中心控制。</w:t>
      </w:r>
    </w:p>
    <w:p>
      <w:pPr>
        <w:autoSpaceDE w:val="0"/>
        <w:autoSpaceDN w:val="0"/>
        <w:adjustRightInd w:val="0"/>
        <w:snapToGrid w:val="0"/>
        <w:spacing w:beforeLines="100" w:afterLines="50" w:line="360" w:lineRule="auto"/>
        <w:jc w:val="left"/>
        <w:outlineLvl w:val="0"/>
        <w:rPr>
          <w:b/>
          <w:bCs/>
          <w:sz w:val="24"/>
        </w:rPr>
      </w:pPr>
      <w:bookmarkStart w:id="77" w:name="_Toc1131"/>
      <w:r>
        <w:rPr>
          <w:b/>
          <w:bCs/>
          <w:sz w:val="24"/>
        </w:rPr>
        <w:t>5.2.6运输的环境风险防范措施</w:t>
      </w:r>
      <w:bookmarkEnd w:id="77"/>
    </w:p>
    <w:p>
      <w:pPr>
        <w:spacing w:line="360" w:lineRule="auto"/>
        <w:ind w:firstLine="484" w:firstLineChars="200"/>
        <w:rPr>
          <w:spacing w:val="1"/>
          <w:kern w:val="0"/>
          <w:sz w:val="24"/>
        </w:rPr>
      </w:pPr>
      <w:r>
        <w:rPr>
          <w:spacing w:val="1"/>
          <w:kern w:val="0"/>
          <w:sz w:val="24"/>
        </w:rPr>
        <w:t>严格查验，凡是进入加油站的危险化学品、危险废物运输车辆、驾驶员、押运员必须具备危货运输的相关资质，手续齐全，车辆安装紧急切断装置，由车辆管理单位进行监控，提前告知运输车辆交通堵塞路段以利于可绕道行驶；建立完善的运输管理流程，严格的登记管理制度，严防在运输过程中遗失。</w:t>
      </w:r>
    </w:p>
    <w:p>
      <w:pPr>
        <w:autoSpaceDE w:val="0"/>
        <w:autoSpaceDN w:val="0"/>
        <w:adjustRightInd w:val="0"/>
        <w:snapToGrid w:val="0"/>
        <w:spacing w:beforeLines="100" w:afterLines="50" w:line="360" w:lineRule="auto"/>
        <w:jc w:val="left"/>
        <w:outlineLvl w:val="0"/>
        <w:rPr>
          <w:b/>
          <w:bCs/>
          <w:sz w:val="24"/>
        </w:rPr>
      </w:pPr>
      <w:bookmarkStart w:id="78" w:name="_Toc4256"/>
      <w:r>
        <w:rPr>
          <w:b/>
          <w:bCs/>
          <w:sz w:val="24"/>
        </w:rPr>
        <w:t>5.2.7其他环境风险防范措施</w:t>
      </w:r>
      <w:bookmarkEnd w:id="78"/>
    </w:p>
    <w:p>
      <w:pPr>
        <w:spacing w:line="360" w:lineRule="auto"/>
        <w:ind w:firstLine="484" w:firstLineChars="200"/>
        <w:rPr>
          <w:spacing w:val="1"/>
          <w:kern w:val="0"/>
          <w:sz w:val="24"/>
        </w:rPr>
      </w:pPr>
      <w:r>
        <w:rPr>
          <w:spacing w:val="1"/>
          <w:kern w:val="0"/>
          <w:sz w:val="24"/>
        </w:rPr>
        <w:t>（1）运营中确保各项应急设施及器材的完好，定期检查，对已损坏的设施或器材及时更换维修。</w:t>
      </w:r>
    </w:p>
    <w:p>
      <w:pPr>
        <w:spacing w:line="360" w:lineRule="auto"/>
        <w:ind w:firstLine="484" w:firstLineChars="200"/>
        <w:rPr>
          <w:spacing w:val="1"/>
          <w:kern w:val="0"/>
          <w:sz w:val="24"/>
        </w:rPr>
      </w:pPr>
      <w:r>
        <w:rPr>
          <w:spacing w:val="1"/>
          <w:kern w:val="0"/>
          <w:sz w:val="24"/>
        </w:rPr>
        <w:t>（2）定期组织应急培训及演练，并根据方案多方位分类培训。</w:t>
      </w:r>
    </w:p>
    <w:p>
      <w:pPr>
        <w:spacing w:line="360" w:lineRule="auto"/>
        <w:ind w:firstLine="484" w:firstLineChars="200"/>
        <w:rPr>
          <w:spacing w:val="1"/>
          <w:kern w:val="0"/>
          <w:sz w:val="24"/>
        </w:rPr>
      </w:pPr>
      <w:r>
        <w:rPr>
          <w:spacing w:val="1"/>
          <w:kern w:val="0"/>
          <w:sz w:val="24"/>
        </w:rPr>
        <w:t>（3）发生事故时，及时启动相应的应急预案，采取救援措施，实施应急监测。</w:t>
      </w:r>
    </w:p>
    <w:p>
      <w:pPr>
        <w:autoSpaceDE w:val="0"/>
        <w:autoSpaceDN w:val="0"/>
        <w:adjustRightInd w:val="0"/>
        <w:snapToGrid w:val="0"/>
        <w:spacing w:beforeLines="100" w:afterLines="50" w:line="360" w:lineRule="auto"/>
        <w:jc w:val="left"/>
        <w:outlineLvl w:val="0"/>
        <w:rPr>
          <w:b/>
          <w:bCs/>
          <w:sz w:val="24"/>
        </w:rPr>
      </w:pPr>
      <w:bookmarkStart w:id="79" w:name="_Toc23636"/>
      <w:r>
        <w:rPr>
          <w:b/>
          <w:bCs/>
          <w:sz w:val="24"/>
        </w:rPr>
        <w:t>5.2.8环境应急资源</w:t>
      </w:r>
      <w:bookmarkEnd w:id="79"/>
    </w:p>
    <w:p>
      <w:pPr>
        <w:spacing w:line="360" w:lineRule="auto"/>
        <w:ind w:firstLine="484" w:firstLineChars="200"/>
        <w:rPr>
          <w:spacing w:val="1"/>
          <w:kern w:val="0"/>
          <w:sz w:val="24"/>
        </w:rPr>
      </w:pPr>
      <w:r>
        <w:rPr>
          <w:spacing w:val="1"/>
          <w:kern w:val="0"/>
          <w:sz w:val="24"/>
        </w:rPr>
        <w:t>已经配备了必要的应急物资、应急设备和应急队伍，外部救援机构均为政府职能部门或服务性机构，加油站虽未与有关部门签订应急救援协议或互救协议，一旦发生突发环境事件，通过信息传递需要实施外部救援时，相关部门本着“以人为本，快速响应”的原则，有责任和义务对加油站进行应急救援。</w:t>
      </w:r>
    </w:p>
    <w:p>
      <w:pPr>
        <w:autoSpaceDE w:val="0"/>
        <w:autoSpaceDN w:val="0"/>
        <w:adjustRightInd w:val="0"/>
        <w:snapToGrid w:val="0"/>
        <w:spacing w:beforeLines="100" w:afterLines="50" w:line="360" w:lineRule="auto"/>
        <w:jc w:val="left"/>
        <w:outlineLvl w:val="0"/>
        <w:rPr>
          <w:b/>
          <w:bCs/>
          <w:sz w:val="24"/>
        </w:rPr>
      </w:pPr>
      <w:bookmarkStart w:id="80" w:name="_Toc12074"/>
      <w:r>
        <w:rPr>
          <w:b/>
          <w:bCs/>
          <w:sz w:val="24"/>
        </w:rPr>
        <w:t>5.3历史经验教训总结</w:t>
      </w:r>
      <w:bookmarkEnd w:id="80"/>
    </w:p>
    <w:p>
      <w:pPr>
        <w:spacing w:line="360" w:lineRule="auto"/>
        <w:ind w:firstLine="484" w:firstLineChars="200"/>
        <w:rPr>
          <w:spacing w:val="1"/>
          <w:kern w:val="0"/>
          <w:sz w:val="24"/>
        </w:rPr>
      </w:pPr>
      <w:r>
        <w:rPr>
          <w:spacing w:val="1"/>
          <w:kern w:val="0"/>
          <w:sz w:val="24"/>
        </w:rPr>
        <w:t>对前文收集的国内同类企业突发环境事件案例进行分析、总结，案例中加油站发生火灾爆炸及危险化学品泄露事故发生的主要原因有：巡回检查监控措施不到位；员工违规违章操作；未按照《危险化学品运输证》要求配备运输人员，缺乏员工（包括操作工、驾驶员）进行危险化学品知识培训以及管理措施不到位等。</w:t>
      </w:r>
    </w:p>
    <w:p>
      <w:pPr>
        <w:spacing w:line="360" w:lineRule="auto"/>
        <w:ind w:firstLine="484" w:firstLineChars="200"/>
        <w:rPr>
          <w:spacing w:val="1"/>
          <w:kern w:val="0"/>
          <w:sz w:val="24"/>
        </w:rPr>
      </w:pPr>
      <w:r>
        <w:rPr>
          <w:spacing w:val="1"/>
          <w:kern w:val="0"/>
          <w:sz w:val="24"/>
        </w:rPr>
        <w:t>加油站引以为戒、吸取历史经验教训，针对上述酿成事故的原因，采取了如下相应对策：（1）对现有危险源点加强巡回检查，实施责任制；（2）定期开展污水收集池、事故池、医疗废物暂存间检查、维护保养，发现问题及时修补，保证设施安全使用。（3）加强管理，定期开展员工培训，提高员工素质、增强操作技能；内部、外部培训后进行考试，对员工考核结果应记录备案；为加强加油站员工按章规范操作的主动性、自觉性，制定并落实内部奖惩措施.</w:t>
      </w:r>
    </w:p>
    <w:p>
      <w:pPr>
        <w:autoSpaceDE w:val="0"/>
        <w:autoSpaceDN w:val="0"/>
        <w:adjustRightInd w:val="0"/>
        <w:snapToGrid w:val="0"/>
        <w:spacing w:beforeLines="100" w:afterLines="50" w:line="360" w:lineRule="auto"/>
        <w:jc w:val="left"/>
        <w:outlineLvl w:val="0"/>
        <w:rPr>
          <w:b/>
          <w:bCs/>
          <w:sz w:val="24"/>
        </w:rPr>
      </w:pPr>
      <w:bookmarkStart w:id="81" w:name="_Toc16390"/>
      <w:r>
        <w:rPr>
          <w:b/>
          <w:bCs/>
          <w:sz w:val="24"/>
        </w:rPr>
        <w:t>5.4需要整改的短期、中期和长期项目内容</w:t>
      </w:r>
      <w:bookmarkEnd w:id="81"/>
    </w:p>
    <w:p>
      <w:pPr>
        <w:spacing w:line="360" w:lineRule="auto"/>
        <w:ind w:firstLine="484" w:firstLineChars="200"/>
        <w:rPr>
          <w:spacing w:val="1"/>
          <w:kern w:val="0"/>
          <w:sz w:val="24"/>
        </w:rPr>
      </w:pPr>
      <w:r>
        <w:rPr>
          <w:spacing w:val="1"/>
          <w:kern w:val="0"/>
          <w:sz w:val="24"/>
        </w:rPr>
        <w:t>针对上述排查的每一项差距和隐患，根据其危害性、紧迫性和治理时间的长短，提出需要完成整改的期限，分别按短期（3个月以内）、中期（3-6个月）和长期（6个月以上）给出。</w:t>
      </w:r>
    </w:p>
    <w:p>
      <w:pPr>
        <w:spacing w:line="360" w:lineRule="auto"/>
        <w:ind w:firstLine="484" w:firstLineChars="200"/>
        <w:rPr>
          <w:spacing w:val="1"/>
          <w:kern w:val="0"/>
          <w:sz w:val="24"/>
        </w:rPr>
      </w:pPr>
      <w:r>
        <w:rPr>
          <w:spacing w:val="1"/>
          <w:kern w:val="0"/>
          <w:sz w:val="24"/>
        </w:rPr>
        <w:t>长期（6个月以上）：定期开展安全生产动员大会和定期组织员工进行专题培训，形式有内部专家培训讲座及外部培训班等。</w:t>
      </w:r>
    </w:p>
    <w:p>
      <w:pPr>
        <w:spacing w:line="360" w:lineRule="auto"/>
        <w:ind w:firstLine="484" w:firstLineChars="200"/>
        <w:rPr>
          <w:spacing w:val="1"/>
          <w:kern w:val="0"/>
          <w:sz w:val="24"/>
        </w:rPr>
      </w:pPr>
      <w:r>
        <w:rPr>
          <w:spacing w:val="1"/>
          <w:kern w:val="0"/>
          <w:sz w:val="24"/>
        </w:rPr>
        <w:t>中期（3-6个月）：对污水处理设备设施、危险废物收集、暂存设施进行检修、维护，针对重点风险源（汽油、危险废物、含油污水）、事故池、油罐区、加油区等进行检查。</w:t>
      </w:r>
    </w:p>
    <w:p>
      <w:pPr>
        <w:spacing w:line="360" w:lineRule="auto"/>
        <w:ind w:firstLine="484" w:firstLineChars="200"/>
        <w:rPr>
          <w:spacing w:val="1"/>
          <w:kern w:val="0"/>
          <w:sz w:val="24"/>
        </w:rPr>
      </w:pPr>
      <w:r>
        <w:rPr>
          <w:spacing w:val="1"/>
          <w:kern w:val="0"/>
          <w:sz w:val="24"/>
        </w:rPr>
        <w:t>短期（3个月以内）：明确环境风险防控重点岗位的责任机构，落实到人，开展定期巡检和维护工作；对危险废物油泥、油渣、污油等做好防随意处置和防渗漏措施。</w:t>
      </w:r>
    </w:p>
    <w:p>
      <w:pPr>
        <w:widowControl/>
        <w:jc w:val="left"/>
        <w:rPr>
          <w:kern w:val="0"/>
          <w:sz w:val="24"/>
        </w:rPr>
      </w:pPr>
      <w:r>
        <w:br w:type="page"/>
      </w:r>
    </w:p>
    <w:p>
      <w:pPr>
        <w:autoSpaceDE w:val="0"/>
        <w:autoSpaceDN w:val="0"/>
        <w:adjustRightInd w:val="0"/>
        <w:snapToGrid w:val="0"/>
        <w:spacing w:beforeLines="100" w:afterLines="50" w:line="360" w:lineRule="auto"/>
        <w:jc w:val="center"/>
        <w:outlineLvl w:val="0"/>
        <w:rPr>
          <w:b/>
          <w:bCs/>
          <w:sz w:val="30"/>
          <w:szCs w:val="30"/>
        </w:rPr>
      </w:pPr>
      <w:bookmarkStart w:id="82" w:name="_Toc12235"/>
      <w:r>
        <w:rPr>
          <w:b/>
          <w:bCs/>
          <w:sz w:val="30"/>
          <w:szCs w:val="30"/>
        </w:rPr>
        <w:t>6、完善环境风险防控和应急措施的实施计划</w:t>
      </w:r>
      <w:bookmarkEnd w:id="82"/>
    </w:p>
    <w:p>
      <w:pPr>
        <w:spacing w:line="360" w:lineRule="auto"/>
        <w:ind w:firstLine="484" w:firstLineChars="200"/>
        <w:rPr>
          <w:spacing w:val="1"/>
          <w:kern w:val="0"/>
          <w:sz w:val="24"/>
        </w:rPr>
      </w:pPr>
      <w:r>
        <w:rPr>
          <w:spacing w:val="1"/>
          <w:kern w:val="0"/>
          <w:sz w:val="24"/>
        </w:rPr>
        <w:t>针对加油站需要整改的短期、中期和长期项目，分别制定完善环境风险防控和应急措施的实施计划如下。</w:t>
      </w:r>
    </w:p>
    <w:p>
      <w:pPr>
        <w:spacing w:line="360" w:lineRule="auto"/>
        <w:ind w:firstLine="484" w:firstLineChars="200"/>
        <w:rPr>
          <w:spacing w:val="1"/>
          <w:kern w:val="0"/>
          <w:sz w:val="24"/>
        </w:rPr>
      </w:pPr>
      <w:r>
        <w:rPr>
          <w:spacing w:val="1"/>
          <w:kern w:val="0"/>
          <w:sz w:val="24"/>
        </w:rPr>
        <w:t>长期（负责人：</w:t>
      </w:r>
      <w:r>
        <w:rPr>
          <w:rFonts w:hint="eastAsia"/>
          <w:spacing w:val="1"/>
          <w:kern w:val="0"/>
          <w:sz w:val="24"/>
          <w:lang w:val="en-US" w:eastAsia="zh-CN"/>
        </w:rPr>
        <w:t>李诵剑</w:t>
      </w:r>
      <w:r>
        <w:rPr>
          <w:spacing w:val="1"/>
          <w:kern w:val="0"/>
          <w:sz w:val="24"/>
        </w:rPr>
        <w:t>）：定期开展安全生产动员大会和定期组织员工进行专题培训，形式有内部专家培训讲座及外部培训班等。</w:t>
      </w:r>
    </w:p>
    <w:p>
      <w:pPr>
        <w:spacing w:line="360" w:lineRule="auto"/>
        <w:ind w:firstLine="484" w:firstLineChars="200"/>
        <w:rPr>
          <w:spacing w:val="1"/>
          <w:kern w:val="0"/>
          <w:sz w:val="24"/>
        </w:rPr>
      </w:pPr>
      <w:r>
        <w:rPr>
          <w:spacing w:val="1"/>
          <w:kern w:val="0"/>
          <w:sz w:val="24"/>
        </w:rPr>
        <w:t>中期（负责人：</w:t>
      </w:r>
      <w:r>
        <w:rPr>
          <w:rFonts w:hint="eastAsia"/>
          <w:spacing w:val="1"/>
          <w:kern w:val="0"/>
          <w:sz w:val="24"/>
          <w:lang w:val="en-US" w:eastAsia="zh-CN"/>
        </w:rPr>
        <w:t>陈和川</w:t>
      </w:r>
      <w:r>
        <w:rPr>
          <w:spacing w:val="1"/>
          <w:kern w:val="0"/>
          <w:sz w:val="24"/>
        </w:rPr>
        <w:t>）：对污水收集池、隔油池进行检查、维护，针对重点风险源（危险废物暂存间、隔油池）、事故池等进行检查。</w:t>
      </w:r>
    </w:p>
    <w:p>
      <w:pPr>
        <w:spacing w:line="360" w:lineRule="auto"/>
        <w:ind w:firstLine="484" w:firstLineChars="200"/>
        <w:rPr>
          <w:spacing w:val="1"/>
          <w:kern w:val="0"/>
          <w:sz w:val="24"/>
        </w:rPr>
      </w:pPr>
      <w:r>
        <w:rPr>
          <w:spacing w:val="1"/>
          <w:kern w:val="0"/>
          <w:sz w:val="24"/>
        </w:rPr>
        <w:t>短期（负责人：</w:t>
      </w:r>
      <w:r>
        <w:rPr>
          <w:rStyle w:val="39"/>
          <w:rFonts w:ascii="Times New Roman" w:hAnsi="Times New Roman"/>
          <w:spacing w:val="4"/>
          <w:sz w:val="24"/>
          <w:szCs w:val="24"/>
        </w:rPr>
        <w:t>熊艳红</w:t>
      </w:r>
      <w:r>
        <w:rPr>
          <w:spacing w:val="1"/>
          <w:kern w:val="0"/>
          <w:sz w:val="24"/>
        </w:rPr>
        <w:t>）：明确环境风险防控重点岗位的责任机构，落实到人，开展定期巡检和维护工作。</w:t>
      </w:r>
    </w:p>
    <w:p>
      <w:pPr>
        <w:autoSpaceDE w:val="0"/>
        <w:autoSpaceDN w:val="0"/>
        <w:adjustRightInd w:val="0"/>
        <w:snapToGrid w:val="0"/>
        <w:spacing w:beforeLines="100" w:afterLines="50" w:line="360" w:lineRule="auto"/>
        <w:jc w:val="center"/>
        <w:outlineLvl w:val="0"/>
        <w:rPr>
          <w:color w:val="000000"/>
          <w:sz w:val="30"/>
          <w:szCs w:val="30"/>
        </w:rPr>
      </w:pPr>
      <w:r>
        <w:br w:type="page"/>
      </w:r>
      <w:bookmarkStart w:id="83" w:name="_Toc29321"/>
      <w:bookmarkStart w:id="84" w:name="_Toc32287"/>
      <w:r>
        <w:rPr>
          <w:b/>
          <w:bCs/>
          <w:color w:val="000000"/>
          <w:sz w:val="30"/>
          <w:szCs w:val="30"/>
        </w:rPr>
        <w:t>7、加油站突发环境事件风险等级</w:t>
      </w:r>
      <w:bookmarkEnd w:id="83"/>
      <w:bookmarkEnd w:id="84"/>
    </w:p>
    <w:p>
      <w:pPr>
        <w:autoSpaceDE w:val="0"/>
        <w:autoSpaceDN w:val="0"/>
        <w:adjustRightInd w:val="0"/>
        <w:snapToGrid w:val="0"/>
        <w:spacing w:beforeLines="100" w:afterLines="50" w:line="360" w:lineRule="auto"/>
        <w:outlineLvl w:val="0"/>
        <w:rPr>
          <w:b/>
          <w:bCs/>
          <w:color w:val="000000"/>
          <w:sz w:val="24"/>
        </w:rPr>
      </w:pPr>
      <w:bookmarkStart w:id="85" w:name="_Toc7637"/>
      <w:bookmarkStart w:id="86" w:name="_Toc10923"/>
      <w:bookmarkStart w:id="87" w:name="_Toc27688"/>
      <w:r>
        <w:rPr>
          <w:b/>
          <w:bCs/>
          <w:color w:val="000000"/>
          <w:sz w:val="24"/>
        </w:rPr>
        <w:t>7.1.1计算涉气风险物质数量与临界量比值（Q）</w:t>
      </w:r>
      <w:bookmarkEnd w:id="85"/>
      <w:bookmarkEnd w:id="86"/>
      <w:bookmarkEnd w:id="87"/>
    </w:p>
    <w:p>
      <w:pPr>
        <w:pStyle w:val="13"/>
        <w:shd w:val="clear" w:color="auto" w:fill="FFFFFF"/>
        <w:spacing w:beforeAutospacing="0" w:afterAutospacing="0" w:line="360" w:lineRule="auto"/>
        <w:ind w:firstLine="480" w:firstLineChars="200"/>
        <w:rPr>
          <w:rFonts w:ascii="Times New Roman" w:hAnsi="Times New Roman"/>
          <w:color w:val="000000"/>
        </w:rPr>
      </w:pPr>
      <w:r>
        <w:rPr>
          <w:rFonts w:ascii="Times New Roman" w:hAnsi="Times New Roman"/>
          <w:color w:val="000000"/>
        </w:rPr>
        <w:t>涉气风险物质包括附录 A 中的第一、第二、第三、第四、第六部分全部风险物质以及第八部分中除 NH</w:t>
      </w:r>
      <w:r>
        <w:rPr>
          <w:rFonts w:ascii="Times New Roman" w:hAnsi="Times New Roman"/>
          <w:color w:val="000000"/>
          <w:vertAlign w:val="subscript"/>
        </w:rPr>
        <w:t>3</w:t>
      </w:r>
      <w:r>
        <w:rPr>
          <w:rFonts w:ascii="Times New Roman" w:hAnsi="Times New Roman"/>
          <w:color w:val="000000"/>
        </w:rPr>
        <w:t>-N 浓度≥2000mg/L 的废液、COD</w:t>
      </w:r>
      <w:r>
        <w:rPr>
          <w:rFonts w:ascii="Times New Roman" w:hAnsi="Times New Roman"/>
          <w:color w:val="000000"/>
          <w:vertAlign w:val="subscript"/>
        </w:rPr>
        <w:t>Cr</w:t>
      </w:r>
      <w:r>
        <w:rPr>
          <w:rFonts w:ascii="Times New Roman" w:hAnsi="Times New Roman"/>
          <w:color w:val="000000"/>
        </w:rPr>
        <w:t>浓度≥10000mg/L 的有机废液之外的气态和可挥发造成突发大气环境事件的固态、液态风险物质。</w:t>
      </w:r>
    </w:p>
    <w:p>
      <w:pPr>
        <w:pStyle w:val="13"/>
        <w:shd w:val="clear" w:color="auto" w:fill="FFFFFF"/>
        <w:spacing w:beforeAutospacing="0" w:afterAutospacing="0" w:line="360" w:lineRule="auto"/>
        <w:ind w:firstLine="480" w:firstLineChars="200"/>
        <w:rPr>
          <w:rFonts w:ascii="Times New Roman" w:hAnsi="Times New Roman"/>
          <w:color w:val="000000"/>
        </w:rPr>
      </w:pPr>
      <w:r>
        <w:rPr>
          <w:rFonts w:ascii="Times New Roman" w:hAnsi="Times New Roman"/>
          <w:color w:val="000000"/>
        </w:rPr>
        <w:t>判断企业生产原料、产品、中间产品、副产品、催化剂、辅助生产物料、燃料、</w:t>
      </w:r>
      <w:r>
        <w:rPr>
          <w:rFonts w:hint="eastAsia" w:ascii="Times New Roman" w:hAnsi="Times New Roman"/>
          <w:color w:val="000000"/>
        </w:rPr>
        <w:t>“</w:t>
      </w:r>
      <w:r>
        <w:rPr>
          <w:rFonts w:ascii="Times New Roman" w:hAnsi="Times New Roman"/>
          <w:color w:val="000000"/>
        </w:rPr>
        <w:t>三废</w:t>
      </w:r>
      <w:r>
        <w:rPr>
          <w:rFonts w:hint="eastAsia" w:ascii="Times New Roman" w:hAnsi="Times New Roman"/>
          <w:color w:val="000000"/>
        </w:rPr>
        <w:t>”</w:t>
      </w:r>
      <w:r>
        <w:rPr>
          <w:rFonts w:ascii="Times New Roman" w:hAnsi="Times New Roman"/>
          <w:color w:val="000000"/>
        </w:rPr>
        <w:t>污染物等是否涉及大气环境风险物质（混合或稀释的风险物质按其组分比例折算成纯物质），计算涉气风险物质在厂界内的存在量（如存在量呈动态变化，则按年度内最大存在量计算）与其在附录 A 中临界量的比值 Q：</w:t>
      </w:r>
      <w:r>
        <w:rPr>
          <w:rFonts w:ascii="Times New Roman" w:hAnsi="Times New Roman"/>
          <w:color w:val="000000"/>
        </w:rPr>
        <w:br w:type="textWrapping"/>
      </w:r>
      <w:r>
        <w:rPr>
          <w:rFonts w:hint="eastAsia" w:ascii="Times New Roman" w:hAnsi="Times New Roman"/>
          <w:color w:val="000000"/>
          <w:lang w:val="en-US" w:eastAsia="zh-CN"/>
        </w:rPr>
        <w:t xml:space="preserve">  </w:t>
      </w:r>
      <w:r>
        <w:rPr>
          <w:rFonts w:ascii="Times New Roman" w:hAnsi="Times New Roman"/>
          <w:color w:val="000000"/>
        </w:rPr>
        <w:t>（1）当企业只涉及一种风险物质时，该物质的数量与其临界量比值，即为 Q。</w:t>
      </w:r>
      <w:r>
        <w:rPr>
          <w:rFonts w:ascii="Times New Roman" w:hAnsi="Times New Roman"/>
          <w:color w:val="000000"/>
        </w:rPr>
        <w:br w:type="textWrapping"/>
      </w:r>
      <w:r>
        <w:rPr>
          <w:rFonts w:hint="eastAsia" w:ascii="Times New Roman" w:hAnsi="Times New Roman"/>
          <w:color w:val="000000"/>
          <w:lang w:val="en-US" w:eastAsia="zh-CN"/>
        </w:rPr>
        <w:t xml:space="preserve">  </w:t>
      </w:r>
      <w:r>
        <w:rPr>
          <w:rFonts w:ascii="Times New Roman" w:hAnsi="Times New Roman"/>
          <w:color w:val="000000"/>
        </w:rPr>
        <w:t>（2）当企业存在多种风险物质时，则按如下公式计算：</w:t>
      </w:r>
    </w:p>
    <w:p>
      <w:pPr>
        <w:pStyle w:val="13"/>
        <w:shd w:val="clear" w:color="auto" w:fill="FFFFFF"/>
        <w:spacing w:beforeAutospacing="0" w:afterAutospacing="0" w:line="360" w:lineRule="auto"/>
        <w:rPr>
          <w:rFonts w:ascii="Times New Roman" w:hAnsi="Times New Roman"/>
          <w:color w:val="000000"/>
        </w:rPr>
      </w:pPr>
      <w:r>
        <w:rPr>
          <w:rFonts w:ascii="Times New Roman" w:hAnsi="Times New Roman"/>
          <w:color w:val="444444"/>
          <w:shd w:val="clear" w:color="auto" w:fill="FFFFFF"/>
        </w:rPr>
        <w:drawing>
          <wp:inline distT="0" distB="0" distL="0" distR="0">
            <wp:extent cx="5255260" cy="476885"/>
            <wp:effectExtent l="0" t="0" r="2540" b="10795"/>
            <wp:docPr id="12" name="图片 2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3" descr="IMG_257"/>
                    <pic:cNvPicPr>
                      <a:picLocks noChangeAspect="1" noChangeArrowheads="1"/>
                    </pic:cNvPicPr>
                  </pic:nvPicPr>
                  <pic:blipFill>
                    <a:blip r:embed="rId40" cstate="print"/>
                    <a:srcRect t="8519" r="12273"/>
                    <a:stretch>
                      <a:fillRect/>
                    </a:stretch>
                  </pic:blipFill>
                  <pic:spPr>
                    <a:xfrm>
                      <a:off x="0" y="0"/>
                      <a:ext cx="5255260" cy="476885"/>
                    </a:xfrm>
                    <a:prstGeom prst="rect">
                      <a:avLst/>
                    </a:prstGeom>
                    <a:noFill/>
                    <a:ln w="9525">
                      <a:noFill/>
                      <a:miter lim="800000"/>
                      <a:headEnd/>
                      <a:tailEnd/>
                    </a:ln>
                  </pic:spPr>
                </pic:pic>
              </a:graphicData>
            </a:graphic>
          </wp:inline>
        </w:drawing>
      </w:r>
      <w:r>
        <w:rPr>
          <w:rFonts w:ascii="Times New Roman" w:hAnsi="Times New Roman"/>
          <w:color w:val="444444"/>
          <w:shd w:val="clear" w:color="auto" w:fill="FFFFFF"/>
        </w:rPr>
        <w:br w:type="textWrapping"/>
      </w:r>
      <w:r>
        <w:rPr>
          <w:rFonts w:ascii="Times New Roman" w:hAnsi="Times New Roman"/>
          <w:color w:val="444444"/>
          <w:shd w:val="clear" w:color="auto" w:fill="FFFFFF"/>
        </w:rPr>
        <w:t>　</w:t>
      </w:r>
      <w:r>
        <w:rPr>
          <w:rFonts w:ascii="Times New Roman" w:hAnsi="Times New Roman"/>
          <w:color w:val="000000"/>
        </w:rPr>
        <w:t>　式中：w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w:t>
      </w:r>
      <w:r>
        <w:rPr>
          <w:rFonts w:ascii="Times New Roman" w:hAnsi="Times New Roman"/>
          <w:color w:val="000000"/>
        </w:rPr>
        <w:t xml:space="preserve"> ——每种风险物质的存在量，t；</w:t>
      </w:r>
      <w:r>
        <w:rPr>
          <w:rFonts w:ascii="Times New Roman" w:hAnsi="Times New Roman"/>
          <w:color w:val="000000"/>
        </w:rPr>
        <w:br w:type="textWrapping"/>
      </w:r>
      <w:r>
        <w:rPr>
          <w:rFonts w:ascii="Times New Roman" w:hAnsi="Times New Roman"/>
          <w:color w:val="000000"/>
        </w:rPr>
        <w:t>　　      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 </w:t>
      </w:r>
      <w:r>
        <w:rPr>
          <w:rFonts w:ascii="Times New Roman" w:hAnsi="Times New Roman"/>
          <w:color w:val="000000"/>
        </w:rPr>
        <w:t>——每种风险物质的临界量，t。</w:t>
      </w:r>
      <w:r>
        <w:rPr>
          <w:rFonts w:ascii="Times New Roman" w:hAnsi="Times New Roman"/>
          <w:color w:val="000000"/>
        </w:rPr>
        <w:br w:type="textWrapping"/>
      </w:r>
      <w:r>
        <w:rPr>
          <w:rFonts w:ascii="Times New Roman" w:hAnsi="Times New Roman"/>
          <w:color w:val="000000"/>
        </w:rPr>
        <w:t>　　按照数值大小，将 Q 划分为 4 个水平：</w:t>
      </w:r>
      <w:r>
        <w:rPr>
          <w:rFonts w:ascii="Times New Roman" w:hAnsi="Times New Roman"/>
          <w:color w:val="000000"/>
        </w:rPr>
        <w:br w:type="textWrapping"/>
      </w:r>
      <w:r>
        <w:rPr>
          <w:rFonts w:ascii="Times New Roman" w:hAnsi="Times New Roman"/>
          <w:color w:val="000000"/>
        </w:rPr>
        <w:t>　　（1）Q＜1，以 Q0 表示，企业直接评为一般环境风险等级；</w:t>
      </w:r>
      <w:r>
        <w:rPr>
          <w:rFonts w:ascii="Times New Roman" w:hAnsi="Times New Roman"/>
          <w:color w:val="000000"/>
        </w:rPr>
        <w:br w:type="textWrapping"/>
      </w:r>
      <w:r>
        <w:rPr>
          <w:rFonts w:ascii="Times New Roman" w:hAnsi="Times New Roman"/>
          <w:color w:val="000000"/>
        </w:rPr>
        <w:t>　　（2）1≤Q＜10，以 Q1 表示；</w:t>
      </w:r>
      <w:r>
        <w:rPr>
          <w:rFonts w:ascii="Times New Roman" w:hAnsi="Times New Roman"/>
          <w:color w:val="000000"/>
        </w:rPr>
        <w:br w:type="textWrapping"/>
      </w:r>
      <w:r>
        <w:rPr>
          <w:rFonts w:ascii="Times New Roman" w:hAnsi="Times New Roman"/>
          <w:color w:val="000000"/>
        </w:rPr>
        <w:t>　　（3）10≤Q＜100，以 Q2 表示；</w:t>
      </w:r>
      <w:r>
        <w:rPr>
          <w:rFonts w:ascii="Times New Roman" w:hAnsi="Times New Roman"/>
          <w:color w:val="000000"/>
        </w:rPr>
        <w:br w:type="textWrapping"/>
      </w:r>
      <w:r>
        <w:rPr>
          <w:rFonts w:ascii="Times New Roman" w:hAnsi="Times New Roman"/>
          <w:color w:val="000000"/>
        </w:rPr>
        <w:t>　　（4）Q≥100，以 Q3 表示。</w:t>
      </w:r>
    </w:p>
    <w:p>
      <w:pPr>
        <w:autoSpaceDE w:val="0"/>
        <w:autoSpaceDN w:val="0"/>
        <w:adjustRightInd w:val="0"/>
        <w:spacing w:line="360" w:lineRule="auto"/>
        <w:ind w:firstLine="480" w:firstLineChars="200"/>
        <w:rPr>
          <w:b/>
          <w:bCs/>
          <w:color w:val="000000"/>
          <w:spacing w:val="1"/>
          <w:kern w:val="0"/>
          <w:szCs w:val="21"/>
        </w:rPr>
      </w:pPr>
      <w:r>
        <w:rPr>
          <w:color w:val="000000"/>
          <w:sz w:val="24"/>
        </w:rPr>
        <w:t>根据企业生产原料、产品、中间产品、副产品、催化剂、辅助生产物料、燃料、“三废”污染物使用和产生情况，参照附录A风险物质临界量，</w:t>
      </w:r>
      <w:r>
        <w:rPr>
          <w:color w:val="000000"/>
          <w:spacing w:val="1"/>
          <w:kern w:val="0"/>
          <w:sz w:val="24"/>
          <w:lang w:val="zh-CN"/>
        </w:rPr>
        <w:t>项目涉及的</w:t>
      </w:r>
      <w:r>
        <w:rPr>
          <w:color w:val="000000"/>
          <w:spacing w:val="1"/>
          <w:kern w:val="0"/>
          <w:sz w:val="24"/>
        </w:rPr>
        <w:t>汽油</w:t>
      </w:r>
      <w:r>
        <w:rPr>
          <w:rFonts w:hint="eastAsia"/>
          <w:color w:val="000000"/>
          <w:spacing w:val="1"/>
          <w:kern w:val="0"/>
          <w:sz w:val="24"/>
        </w:rPr>
        <w:t>、柴油</w:t>
      </w:r>
      <w:r>
        <w:rPr>
          <w:color w:val="000000"/>
          <w:spacing w:val="1"/>
          <w:kern w:val="0"/>
          <w:sz w:val="24"/>
        </w:rPr>
        <w:t>的临界量与项目暂存量如下表所示。</w:t>
      </w:r>
    </w:p>
    <w:p>
      <w:pPr>
        <w:rPr>
          <w:b/>
          <w:bCs/>
          <w:color w:val="000000"/>
          <w:spacing w:val="1"/>
          <w:kern w:val="0"/>
          <w:szCs w:val="21"/>
        </w:rPr>
      </w:pPr>
      <w:r>
        <w:rPr>
          <w:b/>
          <w:bCs/>
          <w:color w:val="000000"/>
          <w:spacing w:val="1"/>
          <w:kern w:val="0"/>
          <w:szCs w:val="21"/>
        </w:rPr>
        <w:br w:type="page"/>
      </w:r>
    </w:p>
    <w:p>
      <w:pPr>
        <w:pStyle w:val="2"/>
      </w:pPr>
    </w:p>
    <w:p>
      <w:pPr>
        <w:autoSpaceDE w:val="0"/>
        <w:autoSpaceDN w:val="0"/>
        <w:adjustRightInd w:val="0"/>
        <w:spacing w:line="360" w:lineRule="auto"/>
        <w:ind w:firstLine="480"/>
        <w:jc w:val="center"/>
        <w:rPr>
          <w:b/>
          <w:bCs/>
          <w:color w:val="000000"/>
          <w:szCs w:val="21"/>
        </w:rPr>
      </w:pPr>
      <w:r>
        <w:rPr>
          <w:b/>
          <w:bCs/>
          <w:color w:val="000000"/>
          <w:spacing w:val="1"/>
          <w:kern w:val="0"/>
          <w:szCs w:val="21"/>
        </w:rPr>
        <w:t xml:space="preserve">表7-1 </w:t>
      </w:r>
      <w:r>
        <w:rPr>
          <w:b/>
          <w:bCs/>
          <w:color w:val="000000"/>
          <w:szCs w:val="21"/>
        </w:rPr>
        <w:t>物质的临界量与本项目暂存量一览表</w:t>
      </w:r>
    </w:p>
    <w:tbl>
      <w:tblPr>
        <w:tblStyle w:val="14"/>
        <w:tblpPr w:leftFromText="180" w:rightFromText="180" w:vertAnchor="text" w:horzAnchor="page" w:tblpX="2659" w:tblpY="54"/>
        <w:tblOverlap w:val="never"/>
        <w:tblW w:w="68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1"/>
        <w:gridCol w:w="959"/>
        <w:gridCol w:w="965"/>
        <w:gridCol w:w="1020"/>
        <w:gridCol w:w="926"/>
        <w:gridCol w:w="1219"/>
        <w:gridCol w:w="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10" w:hRule="atLeast"/>
        </w:trPr>
        <w:tc>
          <w:tcPr>
            <w:tcW w:w="911" w:type="dxa"/>
            <w:vMerge w:val="restart"/>
            <w:vAlign w:val="center"/>
          </w:tcPr>
          <w:p>
            <w:pPr>
              <w:jc w:val="center"/>
              <w:rPr>
                <w:b/>
                <w:bCs/>
                <w:szCs w:val="21"/>
              </w:rPr>
            </w:pPr>
            <w:r>
              <w:rPr>
                <w:b/>
                <w:bCs/>
                <w:szCs w:val="21"/>
              </w:rPr>
              <w:t>物质名称</w:t>
            </w:r>
          </w:p>
        </w:tc>
        <w:tc>
          <w:tcPr>
            <w:tcW w:w="1924" w:type="dxa"/>
            <w:gridSpan w:val="2"/>
            <w:vAlign w:val="center"/>
          </w:tcPr>
          <w:p>
            <w:pPr>
              <w:jc w:val="center"/>
              <w:rPr>
                <w:b/>
                <w:bCs/>
                <w:szCs w:val="21"/>
              </w:rPr>
            </w:pPr>
            <w:r>
              <w:rPr>
                <w:b/>
                <w:bCs/>
                <w:szCs w:val="21"/>
              </w:rPr>
              <w:t>临界量（t）</w:t>
            </w:r>
          </w:p>
        </w:tc>
        <w:tc>
          <w:tcPr>
            <w:tcW w:w="1946" w:type="dxa"/>
            <w:gridSpan w:val="2"/>
            <w:vAlign w:val="center"/>
          </w:tcPr>
          <w:p>
            <w:pPr>
              <w:jc w:val="center"/>
              <w:rPr>
                <w:b/>
                <w:bCs/>
                <w:szCs w:val="21"/>
              </w:rPr>
            </w:pPr>
            <w:r>
              <w:rPr>
                <w:b/>
                <w:bCs/>
                <w:szCs w:val="21"/>
              </w:rPr>
              <w:t>实际量（t）</w:t>
            </w:r>
          </w:p>
        </w:tc>
        <w:tc>
          <w:tcPr>
            <w:tcW w:w="1219" w:type="dxa"/>
            <w:vMerge w:val="restart"/>
            <w:vAlign w:val="center"/>
          </w:tcPr>
          <w:p>
            <w:pPr>
              <w:jc w:val="center"/>
              <w:rPr>
                <w:b/>
                <w:bCs/>
                <w:szCs w:val="21"/>
              </w:rPr>
            </w:pPr>
            <w:r>
              <w:rPr>
                <w:b/>
                <w:bCs/>
                <w:szCs w:val="21"/>
              </w:rPr>
              <w:t>重大危险源</w:t>
            </w:r>
          </w:p>
        </w:tc>
        <w:tc>
          <w:tcPr>
            <w:tcW w:w="836" w:type="dxa"/>
            <w:vMerge w:val="restart"/>
            <w:vAlign w:val="center"/>
          </w:tcPr>
          <w:p>
            <w:pPr>
              <w:jc w:val="center"/>
              <w:rPr>
                <w:b/>
                <w:bCs/>
                <w:szCs w:val="21"/>
              </w:rPr>
            </w:pPr>
            <w:r>
              <w:rPr>
                <w:b/>
                <w:bCs/>
                <w:szCs w:val="21"/>
              </w:rPr>
              <w:t>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7" w:hRule="atLeast"/>
        </w:trPr>
        <w:tc>
          <w:tcPr>
            <w:tcW w:w="911" w:type="dxa"/>
            <w:vMerge w:val="continue"/>
            <w:vAlign w:val="center"/>
          </w:tcPr>
          <w:p>
            <w:pPr>
              <w:jc w:val="center"/>
              <w:rPr>
                <w:szCs w:val="21"/>
              </w:rPr>
            </w:pPr>
          </w:p>
        </w:tc>
        <w:tc>
          <w:tcPr>
            <w:tcW w:w="959" w:type="dxa"/>
            <w:vAlign w:val="center"/>
          </w:tcPr>
          <w:p>
            <w:pPr>
              <w:jc w:val="center"/>
              <w:rPr>
                <w:b/>
                <w:szCs w:val="21"/>
              </w:rPr>
            </w:pPr>
            <w:r>
              <w:rPr>
                <w:b/>
                <w:szCs w:val="21"/>
              </w:rPr>
              <w:t>生产场所</w:t>
            </w:r>
          </w:p>
        </w:tc>
        <w:tc>
          <w:tcPr>
            <w:tcW w:w="965" w:type="dxa"/>
            <w:vAlign w:val="center"/>
          </w:tcPr>
          <w:p>
            <w:pPr>
              <w:jc w:val="center"/>
              <w:rPr>
                <w:b/>
                <w:szCs w:val="21"/>
              </w:rPr>
            </w:pPr>
            <w:r>
              <w:rPr>
                <w:b/>
                <w:szCs w:val="21"/>
              </w:rPr>
              <w:t>贮存区</w:t>
            </w:r>
          </w:p>
        </w:tc>
        <w:tc>
          <w:tcPr>
            <w:tcW w:w="1020" w:type="dxa"/>
            <w:vAlign w:val="center"/>
          </w:tcPr>
          <w:p>
            <w:pPr>
              <w:jc w:val="center"/>
              <w:rPr>
                <w:b/>
                <w:szCs w:val="21"/>
              </w:rPr>
            </w:pPr>
            <w:r>
              <w:rPr>
                <w:b/>
                <w:szCs w:val="21"/>
              </w:rPr>
              <w:t>生产场所</w:t>
            </w:r>
          </w:p>
        </w:tc>
        <w:tc>
          <w:tcPr>
            <w:tcW w:w="926" w:type="dxa"/>
            <w:vAlign w:val="center"/>
          </w:tcPr>
          <w:p>
            <w:pPr>
              <w:jc w:val="center"/>
              <w:rPr>
                <w:b/>
                <w:szCs w:val="21"/>
              </w:rPr>
            </w:pPr>
            <w:r>
              <w:rPr>
                <w:b/>
                <w:szCs w:val="21"/>
              </w:rPr>
              <w:t>贮存区</w:t>
            </w:r>
          </w:p>
        </w:tc>
        <w:tc>
          <w:tcPr>
            <w:tcW w:w="1219" w:type="dxa"/>
            <w:vMerge w:val="continue"/>
            <w:vAlign w:val="center"/>
          </w:tcPr>
          <w:p>
            <w:pPr>
              <w:jc w:val="center"/>
              <w:rPr>
                <w:szCs w:val="21"/>
              </w:rPr>
            </w:pPr>
          </w:p>
        </w:tc>
        <w:tc>
          <w:tcPr>
            <w:tcW w:w="836" w:type="dxa"/>
            <w:vMerge w:val="continue"/>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trPr>
        <w:tc>
          <w:tcPr>
            <w:tcW w:w="911" w:type="dxa"/>
            <w:vAlign w:val="center"/>
          </w:tcPr>
          <w:p>
            <w:pPr>
              <w:jc w:val="center"/>
              <w:rPr>
                <w:szCs w:val="21"/>
              </w:rPr>
            </w:pPr>
            <w:r>
              <w:rPr>
                <w:szCs w:val="21"/>
              </w:rPr>
              <w:t>汽油</w:t>
            </w:r>
          </w:p>
        </w:tc>
        <w:tc>
          <w:tcPr>
            <w:tcW w:w="959" w:type="dxa"/>
            <w:vAlign w:val="center"/>
          </w:tcPr>
          <w:p>
            <w:pPr>
              <w:jc w:val="center"/>
              <w:rPr>
                <w:szCs w:val="21"/>
              </w:rPr>
            </w:pPr>
            <w:r>
              <w:rPr>
                <w:szCs w:val="21"/>
              </w:rPr>
              <w:t>/</w:t>
            </w:r>
          </w:p>
        </w:tc>
        <w:tc>
          <w:tcPr>
            <w:tcW w:w="965" w:type="dxa"/>
            <w:vAlign w:val="center"/>
          </w:tcPr>
          <w:p>
            <w:pPr>
              <w:jc w:val="center"/>
              <w:rPr>
                <w:szCs w:val="21"/>
              </w:rPr>
            </w:pPr>
            <w:r>
              <w:rPr>
                <w:szCs w:val="21"/>
              </w:rPr>
              <w:t>200t</w:t>
            </w:r>
          </w:p>
        </w:tc>
        <w:tc>
          <w:tcPr>
            <w:tcW w:w="1020" w:type="dxa"/>
            <w:vAlign w:val="center"/>
          </w:tcPr>
          <w:p>
            <w:pPr>
              <w:jc w:val="center"/>
              <w:rPr>
                <w:szCs w:val="21"/>
              </w:rPr>
            </w:pPr>
            <w:r>
              <w:rPr>
                <w:szCs w:val="21"/>
              </w:rPr>
              <w:t>/</w:t>
            </w:r>
          </w:p>
        </w:tc>
        <w:tc>
          <w:tcPr>
            <w:tcW w:w="926" w:type="dxa"/>
            <w:vAlign w:val="center"/>
          </w:tcPr>
          <w:p>
            <w:pPr>
              <w:jc w:val="center"/>
              <w:rPr>
                <w:szCs w:val="21"/>
              </w:rPr>
            </w:pPr>
            <w:r>
              <w:rPr>
                <w:rFonts w:hint="eastAsia" w:ascii="Times New Roman" w:hAnsi="Times New Roman" w:cs="Times New Roman"/>
                <w:color w:val="000000" w:themeColor="text1"/>
                <w:sz w:val="21"/>
                <w:szCs w:val="21"/>
                <w:lang w:val="en-US" w:eastAsia="zh-CN"/>
              </w:rPr>
              <w:t>58.32</w:t>
            </w:r>
          </w:p>
        </w:tc>
        <w:tc>
          <w:tcPr>
            <w:tcW w:w="1219" w:type="dxa"/>
            <w:vAlign w:val="center"/>
          </w:tcPr>
          <w:p>
            <w:pPr>
              <w:jc w:val="center"/>
              <w:rPr>
                <w:szCs w:val="21"/>
              </w:rPr>
            </w:pPr>
            <w:r>
              <w:rPr>
                <w:rFonts w:hint="eastAsia" w:ascii="Times New Roman" w:hAnsi="Times New Roman" w:cs="Times New Roman"/>
                <w:szCs w:val="21"/>
              </w:rPr>
              <w:t>易燃易爆</w:t>
            </w:r>
          </w:p>
        </w:tc>
        <w:tc>
          <w:tcPr>
            <w:tcW w:w="836" w:type="dxa"/>
            <w:vAlign w:val="center"/>
          </w:tcPr>
          <w:p>
            <w:pPr>
              <w:jc w:val="center"/>
              <w:rPr>
                <w:szCs w:val="21"/>
              </w:rPr>
            </w:pPr>
            <w:r>
              <w:rPr>
                <w:rFonts w:ascii="Times New Roman" w:hAnsi="Times New Roman" w:cs="Times New Roman"/>
                <w:szCs w:val="21"/>
              </w:rPr>
              <w:t>油罐区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trPr>
        <w:tc>
          <w:tcPr>
            <w:tcW w:w="911" w:type="dxa"/>
            <w:vAlign w:val="center"/>
          </w:tcPr>
          <w:p>
            <w:pPr>
              <w:jc w:val="center"/>
              <w:rPr>
                <w:szCs w:val="21"/>
              </w:rPr>
            </w:pPr>
            <w:r>
              <w:rPr>
                <w:rFonts w:hint="eastAsia"/>
                <w:szCs w:val="21"/>
              </w:rPr>
              <w:t>柴油</w:t>
            </w:r>
          </w:p>
        </w:tc>
        <w:tc>
          <w:tcPr>
            <w:tcW w:w="959" w:type="dxa"/>
            <w:vAlign w:val="center"/>
          </w:tcPr>
          <w:p>
            <w:pPr>
              <w:jc w:val="center"/>
              <w:rPr>
                <w:szCs w:val="21"/>
              </w:rPr>
            </w:pPr>
            <w:r>
              <w:rPr>
                <w:rFonts w:hint="eastAsia"/>
                <w:szCs w:val="21"/>
              </w:rPr>
              <w:t>/</w:t>
            </w:r>
          </w:p>
        </w:tc>
        <w:tc>
          <w:tcPr>
            <w:tcW w:w="965" w:type="dxa"/>
            <w:vAlign w:val="center"/>
          </w:tcPr>
          <w:p>
            <w:pPr>
              <w:jc w:val="center"/>
              <w:rPr>
                <w:szCs w:val="21"/>
              </w:rPr>
            </w:pPr>
            <w:r>
              <w:rPr>
                <w:szCs w:val="21"/>
              </w:rPr>
              <w:t>5</w:t>
            </w:r>
            <w:r>
              <w:rPr>
                <w:rFonts w:hint="eastAsia"/>
                <w:szCs w:val="21"/>
                <w:lang w:val="en-US" w:eastAsia="zh-CN"/>
              </w:rPr>
              <w:t>0</w:t>
            </w:r>
            <w:r>
              <w:rPr>
                <w:szCs w:val="21"/>
              </w:rPr>
              <w:t>00t</w:t>
            </w:r>
          </w:p>
        </w:tc>
        <w:tc>
          <w:tcPr>
            <w:tcW w:w="1020" w:type="dxa"/>
            <w:vAlign w:val="center"/>
          </w:tcPr>
          <w:p>
            <w:pPr>
              <w:jc w:val="center"/>
              <w:rPr>
                <w:szCs w:val="21"/>
              </w:rPr>
            </w:pPr>
            <w:r>
              <w:rPr>
                <w:rFonts w:hint="eastAsia"/>
                <w:szCs w:val="21"/>
              </w:rPr>
              <w:t>/</w:t>
            </w:r>
          </w:p>
        </w:tc>
        <w:tc>
          <w:tcPr>
            <w:tcW w:w="926" w:type="dxa"/>
            <w:vAlign w:val="center"/>
          </w:tcPr>
          <w:p>
            <w:pPr>
              <w:jc w:val="center"/>
              <w:rPr>
                <w:szCs w:val="21"/>
              </w:rPr>
            </w:pPr>
            <w:r>
              <w:rPr>
                <w:rFonts w:hint="eastAsia" w:ascii="Times New Roman" w:hAnsi="Times New Roman" w:cs="Times New Roman"/>
                <w:color w:val="000000" w:themeColor="text1"/>
                <w:sz w:val="21"/>
                <w:szCs w:val="21"/>
                <w:lang w:val="en-US" w:eastAsia="zh-CN"/>
              </w:rPr>
              <w:t>22.41</w:t>
            </w:r>
          </w:p>
        </w:tc>
        <w:tc>
          <w:tcPr>
            <w:tcW w:w="1219" w:type="dxa"/>
            <w:vAlign w:val="center"/>
          </w:tcPr>
          <w:p>
            <w:pPr>
              <w:jc w:val="center"/>
              <w:rPr>
                <w:szCs w:val="21"/>
              </w:rPr>
            </w:pPr>
            <w:r>
              <w:rPr>
                <w:rFonts w:hint="eastAsia" w:ascii="Times New Roman" w:hAnsi="Times New Roman" w:cs="Times New Roman"/>
                <w:szCs w:val="21"/>
              </w:rPr>
              <w:t>易燃易爆</w:t>
            </w:r>
          </w:p>
        </w:tc>
        <w:tc>
          <w:tcPr>
            <w:tcW w:w="836" w:type="dxa"/>
            <w:vAlign w:val="center"/>
          </w:tcPr>
          <w:p>
            <w:pPr>
              <w:jc w:val="center"/>
              <w:rPr>
                <w:szCs w:val="21"/>
              </w:rPr>
            </w:pPr>
            <w:r>
              <w:rPr>
                <w:rFonts w:ascii="Times New Roman" w:hAnsi="Times New Roman" w:cs="Times New Roman"/>
                <w:szCs w:val="21"/>
              </w:rPr>
              <w:t>油罐区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911" w:type="dxa"/>
            <w:vAlign w:val="center"/>
          </w:tcPr>
          <w:p>
            <w:pPr>
              <w:jc w:val="center"/>
              <w:rPr>
                <w:szCs w:val="21"/>
              </w:rPr>
            </w:pPr>
          </w:p>
        </w:tc>
        <w:tc>
          <w:tcPr>
            <w:tcW w:w="3870" w:type="dxa"/>
            <w:gridSpan w:val="4"/>
            <w:vAlign w:val="center"/>
          </w:tcPr>
          <w:p>
            <w:pPr>
              <w:jc w:val="center"/>
              <w:rPr>
                <w:szCs w:val="21"/>
              </w:rPr>
            </w:pPr>
            <w:r>
              <w:rPr>
                <w:rFonts w:hint="eastAsia" w:ascii="Times New Roman" w:hAnsi="Times New Roman" w:cs="Times New Roman"/>
                <w:color w:val="000000" w:themeColor="text1"/>
                <w:sz w:val="21"/>
                <w:szCs w:val="21"/>
                <w:lang w:val="en-US" w:eastAsia="zh-CN"/>
              </w:rPr>
              <w:t>58.32/200 + 22.41/5000 =0.295</w:t>
            </w:r>
            <w:r>
              <w:rPr>
                <w:szCs w:val="21"/>
              </w:rPr>
              <w:t>＜1</w:t>
            </w:r>
          </w:p>
        </w:tc>
        <w:tc>
          <w:tcPr>
            <w:tcW w:w="1219" w:type="dxa"/>
            <w:vAlign w:val="center"/>
          </w:tcPr>
          <w:p>
            <w:pPr>
              <w:jc w:val="center"/>
              <w:rPr>
                <w:szCs w:val="21"/>
              </w:rPr>
            </w:pPr>
            <w:r>
              <w:rPr>
                <w:szCs w:val="21"/>
              </w:rPr>
              <w:t>否</w:t>
            </w:r>
          </w:p>
        </w:tc>
        <w:tc>
          <w:tcPr>
            <w:tcW w:w="836" w:type="dxa"/>
            <w:vAlign w:val="center"/>
          </w:tcPr>
          <w:p>
            <w:pPr>
              <w:jc w:val="center"/>
              <w:rPr>
                <w:szCs w:val="21"/>
              </w:rPr>
            </w:pPr>
          </w:p>
        </w:tc>
      </w:tr>
    </w:tbl>
    <w:p>
      <w:pPr>
        <w:autoSpaceDE w:val="0"/>
        <w:autoSpaceDN w:val="0"/>
        <w:adjustRightInd w:val="0"/>
        <w:spacing w:line="360" w:lineRule="auto"/>
        <w:ind w:firstLine="480" w:firstLineChars="200"/>
        <w:rPr>
          <w:color w:val="000000"/>
          <w:sz w:val="24"/>
        </w:rPr>
      </w:pPr>
    </w:p>
    <w:p>
      <w:pPr>
        <w:autoSpaceDE w:val="0"/>
        <w:autoSpaceDN w:val="0"/>
        <w:adjustRightInd w:val="0"/>
        <w:spacing w:line="360" w:lineRule="auto"/>
        <w:ind w:firstLine="480" w:firstLineChars="200"/>
        <w:rPr>
          <w:color w:val="000000"/>
          <w:sz w:val="24"/>
        </w:rPr>
      </w:pPr>
    </w:p>
    <w:p>
      <w:pPr>
        <w:autoSpaceDE w:val="0"/>
        <w:autoSpaceDN w:val="0"/>
        <w:adjustRightInd w:val="0"/>
        <w:spacing w:line="360" w:lineRule="auto"/>
        <w:ind w:firstLine="480" w:firstLineChars="200"/>
        <w:rPr>
          <w:color w:val="000000"/>
          <w:sz w:val="24"/>
        </w:rPr>
      </w:pPr>
    </w:p>
    <w:p>
      <w:pPr>
        <w:autoSpaceDE w:val="0"/>
        <w:autoSpaceDN w:val="0"/>
        <w:adjustRightInd w:val="0"/>
        <w:spacing w:line="360" w:lineRule="auto"/>
        <w:ind w:firstLine="480" w:firstLineChars="200"/>
        <w:rPr>
          <w:color w:val="000000"/>
          <w:sz w:val="24"/>
        </w:rPr>
      </w:pPr>
    </w:p>
    <w:p>
      <w:pPr>
        <w:autoSpaceDE w:val="0"/>
        <w:autoSpaceDN w:val="0"/>
        <w:adjustRightInd w:val="0"/>
        <w:spacing w:line="360" w:lineRule="auto"/>
        <w:ind w:firstLine="480" w:firstLineChars="200"/>
        <w:rPr>
          <w:color w:val="000000"/>
          <w:sz w:val="24"/>
        </w:rPr>
      </w:pPr>
    </w:p>
    <w:p>
      <w:pPr>
        <w:autoSpaceDE w:val="0"/>
        <w:autoSpaceDN w:val="0"/>
        <w:adjustRightInd w:val="0"/>
        <w:spacing w:line="360" w:lineRule="auto"/>
        <w:ind w:firstLine="480" w:firstLineChars="200"/>
        <w:rPr>
          <w:rFonts w:hint="eastAsia"/>
          <w:color w:val="000000"/>
          <w:sz w:val="24"/>
        </w:rPr>
      </w:pPr>
      <w:r>
        <w:rPr>
          <w:color w:val="000000"/>
          <w:sz w:val="24"/>
        </w:rPr>
        <w:t>经计算，Q</w:t>
      </w:r>
      <w:r>
        <w:rPr>
          <w:color w:val="000000"/>
          <w:sz w:val="24"/>
          <w:szCs w:val="24"/>
        </w:rPr>
        <w:t>=</w:t>
      </w:r>
      <w:r>
        <w:rPr>
          <w:rFonts w:hint="eastAsia" w:ascii="Times New Roman" w:hAnsi="Times New Roman" w:cs="Times New Roman"/>
          <w:color w:val="000000" w:themeColor="text1"/>
          <w:sz w:val="24"/>
          <w:szCs w:val="24"/>
          <w:lang w:val="en-US" w:eastAsia="zh-CN"/>
        </w:rPr>
        <w:t>0.295</w:t>
      </w:r>
      <w:r>
        <w:rPr>
          <w:rFonts w:hint="eastAsia"/>
          <w:color w:val="000000"/>
          <w:sz w:val="24"/>
        </w:rPr>
        <w:t>＜1</w:t>
      </w:r>
      <w:bookmarkStart w:id="88" w:name="_Toc9911"/>
      <w:bookmarkStart w:id="89" w:name="_Toc58"/>
    </w:p>
    <w:p>
      <w:pPr>
        <w:autoSpaceDE w:val="0"/>
        <w:autoSpaceDN w:val="0"/>
        <w:adjustRightInd w:val="0"/>
        <w:spacing w:line="360" w:lineRule="auto"/>
        <w:ind w:firstLine="480" w:firstLineChars="200"/>
        <w:rPr>
          <w:color w:val="000000"/>
          <w:sz w:val="24"/>
        </w:rPr>
      </w:pP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Lines="100" w:afterLines="50" w:line="360" w:lineRule="auto"/>
        <w:outlineLvl w:val="0"/>
        <w:rPr>
          <w:b/>
          <w:bCs/>
          <w:color w:val="000000"/>
          <w:sz w:val="24"/>
        </w:rPr>
      </w:pPr>
      <w:bookmarkStart w:id="90" w:name="_Toc16687"/>
      <w:r>
        <w:rPr>
          <w:b/>
          <w:bCs/>
          <w:color w:val="000000"/>
          <w:sz w:val="24"/>
        </w:rPr>
        <w:t>7.1.2生产工艺过程与大气环境风险控制水平（M）评估</w:t>
      </w:r>
      <w:bookmarkEnd w:id="88"/>
      <w:bookmarkEnd w:id="89"/>
      <w:bookmarkEnd w:id="90"/>
    </w:p>
    <w:p>
      <w:pPr>
        <w:pStyle w:val="13"/>
        <w:shd w:val="clear" w:color="auto" w:fill="FFFFFF"/>
        <w:spacing w:beforeAutospacing="0" w:afterAutospacing="0" w:line="360" w:lineRule="auto"/>
        <w:ind w:firstLine="480" w:firstLineChars="200"/>
        <w:rPr>
          <w:rFonts w:ascii="Times New Roman" w:hAnsi="Times New Roman"/>
          <w:color w:val="000000"/>
          <w:kern w:val="2"/>
        </w:rPr>
      </w:pPr>
      <w:r>
        <w:rPr>
          <w:rFonts w:ascii="Times New Roman" w:hAnsi="Times New Roman"/>
          <w:color w:val="000000"/>
          <w:kern w:val="2"/>
        </w:rPr>
        <w:t>采用评分法对企业生产工艺过程、大气环境风险防控措施及突发大气环境事件发生情况进行评估，将各项指标分值累加，确定企业生产工艺过程与大气环境风险控制水平（M）。</w:t>
      </w:r>
    </w:p>
    <w:p>
      <w:pPr>
        <w:autoSpaceDE w:val="0"/>
        <w:autoSpaceDN w:val="0"/>
        <w:adjustRightInd w:val="0"/>
        <w:snapToGrid w:val="0"/>
        <w:spacing w:beforeLines="100" w:afterLines="50" w:line="360" w:lineRule="auto"/>
        <w:outlineLvl w:val="0"/>
        <w:rPr>
          <w:color w:val="000000"/>
          <w:sz w:val="24"/>
        </w:rPr>
      </w:pPr>
      <w:bookmarkStart w:id="91" w:name="_Toc10844"/>
      <w:bookmarkStart w:id="92" w:name="_Toc9764"/>
      <w:r>
        <w:rPr>
          <w:b/>
          <w:bCs/>
          <w:color w:val="000000"/>
          <w:sz w:val="24"/>
        </w:rPr>
        <w:t>7.1.2.1生产工艺过程含有风险工艺和设备情况</w:t>
      </w:r>
      <w:bookmarkEnd w:id="91"/>
      <w:bookmarkEnd w:id="92"/>
    </w:p>
    <w:p>
      <w:pPr>
        <w:pStyle w:val="13"/>
        <w:shd w:val="clear" w:color="auto" w:fill="FFFFFF"/>
        <w:spacing w:beforeAutospacing="0" w:afterAutospacing="0" w:line="360" w:lineRule="auto"/>
        <w:ind w:firstLine="480" w:firstLineChars="200"/>
        <w:rPr>
          <w:rFonts w:ascii="Times New Roman" w:hAnsi="Times New Roman"/>
          <w:color w:val="000000"/>
          <w:spacing w:val="1"/>
        </w:rPr>
      </w:pPr>
      <w:r>
        <w:rPr>
          <w:rFonts w:ascii="Times New Roman" w:hAnsi="Times New Roman"/>
          <w:color w:val="000000"/>
          <w:kern w:val="2"/>
        </w:rPr>
        <w:t>对企业生产工艺过程含有风险工艺和设备情况的评估按照工艺单元进行，具有多套工艺单元的企业，对每套工艺单元分别评分并求和，该指标分值最高为30分。生产工艺风险及设备情况按照表7-2进行判断。</w:t>
      </w:r>
    </w:p>
    <w:p>
      <w:pPr>
        <w:autoSpaceDE w:val="0"/>
        <w:autoSpaceDN w:val="0"/>
        <w:adjustRightInd w:val="0"/>
        <w:spacing w:line="360" w:lineRule="auto"/>
        <w:ind w:firstLine="480"/>
        <w:jc w:val="center"/>
        <w:rPr>
          <w:b/>
          <w:bCs/>
          <w:color w:val="000000"/>
          <w:spacing w:val="1"/>
          <w:kern w:val="0"/>
          <w:szCs w:val="21"/>
        </w:rPr>
      </w:pPr>
      <w:r>
        <w:rPr>
          <w:b/>
          <w:bCs/>
          <w:color w:val="000000"/>
          <w:spacing w:val="1"/>
          <w:kern w:val="0"/>
          <w:szCs w:val="21"/>
        </w:rPr>
        <w:t>表7-2  企业生产工艺风险就设备</w:t>
      </w:r>
    </w:p>
    <w:p>
      <w:pPr>
        <w:autoSpaceDE w:val="0"/>
        <w:autoSpaceDN w:val="0"/>
        <w:adjustRightInd w:val="0"/>
        <w:spacing w:line="360" w:lineRule="auto"/>
        <w:rPr>
          <w:color w:val="000000"/>
          <w:sz w:val="24"/>
        </w:rPr>
      </w:pPr>
      <w:r>
        <w:rPr>
          <w:color w:val="444444"/>
          <w:sz w:val="24"/>
          <w:shd w:val="clear" w:color="auto" w:fill="FFFFFF"/>
        </w:rPr>
        <w:drawing>
          <wp:inline distT="0" distB="0" distL="0" distR="0">
            <wp:extent cx="5343525" cy="2305050"/>
            <wp:effectExtent l="0" t="0" r="5715" b="11430"/>
            <wp:docPr id="14" name="图片 2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4" descr="IMG_258"/>
                    <pic:cNvPicPr>
                      <a:picLocks noChangeAspect="1" noChangeArrowheads="1"/>
                    </pic:cNvPicPr>
                  </pic:nvPicPr>
                  <pic:blipFill>
                    <a:blip r:embed="rId41" cstate="print"/>
                    <a:srcRect t="8424" r="941"/>
                    <a:stretch>
                      <a:fillRect/>
                    </a:stretch>
                  </pic:blipFill>
                  <pic:spPr>
                    <a:xfrm>
                      <a:off x="0" y="0"/>
                      <a:ext cx="5343525" cy="230505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Lines="100" w:afterLines="50" w:line="360" w:lineRule="auto"/>
        <w:outlineLvl w:val="0"/>
        <w:rPr>
          <w:sz w:val="24"/>
        </w:rPr>
      </w:pPr>
      <w:bookmarkStart w:id="93" w:name="_Toc18131"/>
      <w:r>
        <w:rPr>
          <w:b/>
          <w:bCs/>
          <w:color w:val="000000"/>
          <w:sz w:val="24"/>
        </w:rPr>
        <w:t>7.1.2.2大气环境风险防控措施及突发大气环境事件发生情况</w:t>
      </w:r>
      <w:bookmarkEnd w:id="93"/>
    </w:p>
    <w:p>
      <w:pPr>
        <w:autoSpaceDE w:val="0"/>
        <w:autoSpaceDN w:val="0"/>
        <w:adjustRightInd w:val="0"/>
        <w:spacing w:line="360" w:lineRule="auto"/>
        <w:ind w:firstLine="480"/>
        <w:rPr>
          <w:color w:val="3E3E3E"/>
          <w:sz w:val="24"/>
          <w:shd w:val="clear" w:color="auto" w:fill="FFFFFF"/>
        </w:rPr>
      </w:pPr>
      <w:r>
        <w:rPr>
          <w:color w:val="000000"/>
          <w:spacing w:val="1"/>
          <w:kern w:val="0"/>
          <w:sz w:val="24"/>
        </w:rPr>
        <w:t>企业大气环境风险防控措施及突发大气环境事件发生情况评估指标见表7-3。</w:t>
      </w:r>
    </w:p>
    <w:p>
      <w:pPr>
        <w:autoSpaceDE w:val="0"/>
        <w:autoSpaceDN w:val="0"/>
        <w:adjustRightInd w:val="0"/>
        <w:spacing w:line="360" w:lineRule="auto"/>
        <w:ind w:firstLine="422" w:firstLineChars="200"/>
        <w:jc w:val="center"/>
        <w:rPr>
          <w:color w:val="000000"/>
          <w:sz w:val="24"/>
        </w:rPr>
      </w:pPr>
      <w:r>
        <w:rPr>
          <w:b/>
          <w:bCs/>
          <w:color w:val="3E3E3E"/>
          <w:szCs w:val="21"/>
          <w:shd w:val="clear" w:color="auto" w:fill="FFFFFF"/>
        </w:rPr>
        <w:t>表7-3 企业大气环境风险防控措施及突发大气环境事件发生情况评估</w:t>
      </w:r>
      <w:r>
        <w:rPr>
          <w:color w:val="444444"/>
          <w:shd w:val="clear" w:color="auto" w:fill="FFFFFF"/>
        </w:rPr>
        <w:drawing>
          <wp:inline distT="0" distB="0" distL="0" distR="0">
            <wp:extent cx="5124450" cy="2457450"/>
            <wp:effectExtent l="0" t="0" r="11430" b="11430"/>
            <wp:docPr id="16" name="图片 2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5" descr="IMG_259"/>
                    <pic:cNvPicPr>
                      <a:picLocks noChangeAspect="1" noChangeArrowheads="1"/>
                    </pic:cNvPicPr>
                  </pic:nvPicPr>
                  <pic:blipFill>
                    <a:blip r:embed="rId42" cstate="print"/>
                    <a:srcRect t="6042" r="-23"/>
                    <a:stretch>
                      <a:fillRect/>
                    </a:stretch>
                  </pic:blipFill>
                  <pic:spPr>
                    <a:xfrm>
                      <a:off x="0" y="0"/>
                      <a:ext cx="5124450" cy="245745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Lines="100" w:afterLines="50" w:line="360" w:lineRule="auto"/>
        <w:outlineLvl w:val="0"/>
        <w:rPr>
          <w:color w:val="3E3E3E"/>
          <w:sz w:val="24"/>
          <w:shd w:val="clear" w:color="auto" w:fill="FFFFFF"/>
        </w:rPr>
      </w:pPr>
      <w:bookmarkStart w:id="94" w:name="_Toc32638"/>
      <w:bookmarkStart w:id="95" w:name="_Toc17163"/>
      <w:bookmarkStart w:id="96" w:name="_Toc28600"/>
      <w:r>
        <w:rPr>
          <w:b/>
          <w:bCs/>
          <w:color w:val="000000"/>
          <w:sz w:val="24"/>
        </w:rPr>
        <w:t>7.1.2.3企业生产工艺过程与大气环境风险控制水平</w:t>
      </w:r>
      <w:bookmarkEnd w:id="94"/>
      <w:bookmarkEnd w:id="95"/>
      <w:bookmarkEnd w:id="96"/>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将企业生产工艺过程、大气环境风险防控措施及突发大气环境事件发生情况各项指标评估分值累加，得出生产工艺过程与大气环境风险控制水平值，按照表7-4划分为4个类型。</w:t>
      </w:r>
    </w:p>
    <w:p>
      <w:pPr>
        <w:pStyle w:val="2"/>
        <w:ind w:firstLine="426"/>
        <w:jc w:val="center"/>
        <w:rPr>
          <w:rFonts w:hint="default"/>
          <w:b/>
          <w:bCs/>
          <w:sz w:val="21"/>
          <w:szCs w:val="21"/>
        </w:rPr>
      </w:pPr>
      <w:r>
        <w:rPr>
          <w:rFonts w:hint="default"/>
          <w:b/>
          <w:bCs/>
          <w:color w:val="000000"/>
          <w:spacing w:val="1"/>
          <w:sz w:val="21"/>
          <w:szCs w:val="21"/>
        </w:rPr>
        <w:t>表7-4  企业生产工艺过程与环境风险控制水平类型划分</w:t>
      </w:r>
    </w:p>
    <w:p>
      <w:pPr>
        <w:pStyle w:val="13"/>
        <w:shd w:val="clear" w:color="auto" w:fill="FFFFFF"/>
        <w:spacing w:beforeAutospacing="0" w:afterAutospacing="0" w:line="360" w:lineRule="auto"/>
        <w:rPr>
          <w:rFonts w:ascii="Times New Roman" w:hAnsi="Times New Roman"/>
          <w:color w:val="444444"/>
          <w:shd w:val="clear" w:color="auto" w:fill="FFFFFF"/>
        </w:rPr>
      </w:pPr>
      <w:r>
        <w:rPr>
          <w:rFonts w:ascii="Times New Roman" w:hAnsi="Times New Roman"/>
          <w:color w:val="444444"/>
          <w:shd w:val="clear" w:color="auto" w:fill="FFFFFF"/>
        </w:rPr>
        <w:drawing>
          <wp:inline distT="0" distB="0" distL="0" distR="0">
            <wp:extent cx="5003165" cy="1167765"/>
            <wp:effectExtent l="0" t="0" r="10795" b="5715"/>
            <wp:docPr id="17" name="图片 2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6" descr="IMG_260"/>
                    <pic:cNvPicPr>
                      <a:picLocks noChangeAspect="1" noChangeArrowheads="1"/>
                    </pic:cNvPicPr>
                  </pic:nvPicPr>
                  <pic:blipFill>
                    <a:blip r:embed="rId43" cstate="print"/>
                    <a:srcRect t="11890" r="162"/>
                    <a:stretch>
                      <a:fillRect/>
                    </a:stretch>
                  </pic:blipFill>
                  <pic:spPr>
                    <a:xfrm>
                      <a:off x="0" y="0"/>
                      <a:ext cx="5003165" cy="1167765"/>
                    </a:xfrm>
                    <a:prstGeom prst="rect">
                      <a:avLst/>
                    </a:prstGeom>
                    <a:noFill/>
                    <a:ln w="9525">
                      <a:noFill/>
                      <a:miter lim="800000"/>
                      <a:headEnd/>
                      <a:tailEnd/>
                    </a:ln>
                  </pic:spPr>
                </pic:pic>
              </a:graphicData>
            </a:graphic>
          </wp:inline>
        </w:drawing>
      </w:r>
    </w:p>
    <w:p>
      <w:pPr>
        <w:autoSpaceDE w:val="0"/>
        <w:autoSpaceDN w:val="0"/>
        <w:adjustRightInd w:val="0"/>
        <w:spacing w:line="360" w:lineRule="auto"/>
        <w:ind w:firstLine="480" w:firstLineChars="200"/>
      </w:pP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Lines="100" w:afterLines="50" w:line="360" w:lineRule="auto"/>
        <w:outlineLvl w:val="0"/>
        <w:rPr>
          <w:b/>
          <w:bCs/>
          <w:color w:val="000000"/>
          <w:sz w:val="24"/>
        </w:rPr>
      </w:pPr>
      <w:bookmarkStart w:id="97" w:name="_Toc3269"/>
      <w:r>
        <w:rPr>
          <w:b/>
          <w:bCs/>
          <w:color w:val="000000"/>
          <w:sz w:val="24"/>
        </w:rPr>
        <w:t>7.1.3大气环境风险受体敏感程度（E）评估</w:t>
      </w:r>
      <w:bookmarkEnd w:id="97"/>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大气环境风险受体敏感程度类型按照企业周边人口数进行划分。按照企业周边5公里或500米范围内人口数将大气环境风险受体敏感程度划分为类型 1、类型 2 和类型 3 三种类型，分别以 E1、E2 和 E3 表示，见表7-5。</w:t>
      </w:r>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大气环境风险受体敏感程度按类型 1、类型 2 和类型 3 顺序依次降低。若企业周边存在多种敏感程度类型的大气环境风险受体，则按敏感程度高者确定企业大气环境风险受体敏感程度类型。</w:t>
      </w:r>
    </w:p>
    <w:p>
      <w:pPr>
        <w:pStyle w:val="2"/>
        <w:spacing w:line="240" w:lineRule="auto"/>
        <w:ind w:firstLine="426"/>
        <w:jc w:val="center"/>
        <w:rPr>
          <w:rFonts w:hint="default"/>
          <w:b/>
          <w:bCs/>
          <w:color w:val="000000"/>
          <w:spacing w:val="1"/>
          <w:sz w:val="21"/>
          <w:szCs w:val="21"/>
        </w:rPr>
      </w:pPr>
      <w:r>
        <w:rPr>
          <w:rFonts w:hint="default"/>
          <w:b/>
          <w:bCs/>
          <w:color w:val="000000"/>
          <w:spacing w:val="1"/>
          <w:sz w:val="21"/>
          <w:szCs w:val="21"/>
        </w:rPr>
        <w:t>表7-5  大气环境风险受体敏感程度类型划分</w:t>
      </w:r>
    </w:p>
    <w:tbl>
      <w:tblPr>
        <w:tblStyle w:val="14"/>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0"/>
        <w:gridCol w:w="6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 w:hRule="atLeast"/>
          <w:jc w:val="center"/>
        </w:trPr>
        <w:tc>
          <w:tcPr>
            <w:tcW w:w="1710" w:type="dxa"/>
            <w:shd w:val="clear" w:color="auto" w:fill="auto"/>
            <w:vAlign w:val="center"/>
          </w:tcPr>
          <w:p>
            <w:pPr>
              <w:pStyle w:val="2"/>
              <w:spacing w:line="240" w:lineRule="auto"/>
              <w:ind w:firstLine="0" w:firstLineChars="0"/>
              <w:jc w:val="both"/>
              <w:rPr>
                <w:rFonts w:hint="default"/>
                <w:b/>
                <w:color w:val="000000"/>
                <w:spacing w:val="1"/>
                <w:sz w:val="21"/>
                <w:szCs w:val="21"/>
              </w:rPr>
            </w:pPr>
            <w:r>
              <w:rPr>
                <w:rFonts w:hint="default"/>
                <w:b/>
                <w:color w:val="000000"/>
                <w:spacing w:val="1"/>
                <w:sz w:val="21"/>
                <w:szCs w:val="21"/>
              </w:rPr>
              <w:t>敏感程度类型</w:t>
            </w:r>
          </w:p>
        </w:tc>
        <w:tc>
          <w:tcPr>
            <w:tcW w:w="6812" w:type="dxa"/>
            <w:shd w:val="clear" w:color="auto" w:fill="auto"/>
            <w:vAlign w:val="center"/>
          </w:tcPr>
          <w:p>
            <w:pPr>
              <w:pStyle w:val="2"/>
              <w:spacing w:line="240" w:lineRule="auto"/>
              <w:ind w:firstLine="426"/>
              <w:jc w:val="center"/>
              <w:rPr>
                <w:rFonts w:hint="default"/>
                <w:b/>
                <w:color w:val="000000"/>
                <w:spacing w:val="1"/>
                <w:sz w:val="21"/>
                <w:szCs w:val="21"/>
              </w:rPr>
            </w:pPr>
            <w:r>
              <w:rPr>
                <w:rFonts w:hint="default"/>
                <w:b/>
                <w:color w:val="000000"/>
                <w:spacing w:val="1"/>
                <w:sz w:val="21"/>
                <w:szCs w:val="21"/>
              </w:rPr>
              <w:t>大气环境风险受体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0" w:type="dxa"/>
            <w:shd w:val="clear" w:color="auto" w:fill="auto"/>
            <w:vAlign w:val="center"/>
          </w:tcPr>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类型1</w:t>
            </w:r>
          </w:p>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（E1）</w:t>
            </w:r>
          </w:p>
        </w:tc>
        <w:tc>
          <w:tcPr>
            <w:tcW w:w="6812" w:type="dxa"/>
            <w:shd w:val="clear" w:color="auto" w:fill="auto"/>
            <w:vAlign w:val="center"/>
          </w:tcPr>
          <w:p>
            <w:pPr>
              <w:pStyle w:val="2"/>
              <w:spacing w:line="240" w:lineRule="auto"/>
              <w:ind w:firstLine="424"/>
              <w:rPr>
                <w:rFonts w:hint="default"/>
                <w:color w:val="000000"/>
                <w:spacing w:val="1"/>
                <w:sz w:val="21"/>
                <w:szCs w:val="21"/>
              </w:rPr>
            </w:pPr>
            <w:r>
              <w:rPr>
                <w:rFonts w:hint="default"/>
                <w:color w:val="000000"/>
                <w:spacing w:val="1"/>
                <w:sz w:val="21"/>
                <w:szCs w:val="21"/>
              </w:rPr>
              <w:t>企业周边5公里范围内居住区、医疗卫生机构、文化教育机构、科研单位、行政机关、企事业单位、商场、公园等入口总数5万人以上，或企业周边500米范围内人口总数1000人以上，或企业周边5公里涉及军事禁区、军事管理区、国家相关保密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0" w:type="dxa"/>
            <w:shd w:val="clear" w:color="auto" w:fill="auto"/>
            <w:vAlign w:val="center"/>
          </w:tcPr>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类型2</w:t>
            </w:r>
          </w:p>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（E2）</w:t>
            </w:r>
          </w:p>
        </w:tc>
        <w:tc>
          <w:tcPr>
            <w:tcW w:w="6812" w:type="dxa"/>
            <w:shd w:val="clear" w:color="auto" w:fill="auto"/>
            <w:vAlign w:val="center"/>
          </w:tcPr>
          <w:p>
            <w:pPr>
              <w:pStyle w:val="2"/>
              <w:spacing w:line="240" w:lineRule="auto"/>
              <w:ind w:firstLine="424"/>
              <w:rPr>
                <w:rFonts w:hint="default"/>
                <w:color w:val="000000"/>
                <w:spacing w:val="1"/>
                <w:sz w:val="21"/>
                <w:szCs w:val="21"/>
              </w:rPr>
            </w:pPr>
            <w:r>
              <w:rPr>
                <w:rFonts w:hint="default"/>
                <w:color w:val="000000"/>
                <w:spacing w:val="1"/>
                <w:sz w:val="21"/>
                <w:szCs w:val="21"/>
              </w:rPr>
              <w:t>企业周边5公里范围内居住区、医疗卫生机构、文化教育机构、科研单位、行政机关、企事业单位、商场、公园等入口总数1万人以上、5万人以下，或企业周边500米范围内人口总数500人以上、1000人以下。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0" w:type="dxa"/>
            <w:shd w:val="clear" w:color="auto" w:fill="auto"/>
            <w:vAlign w:val="center"/>
          </w:tcPr>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类型3</w:t>
            </w:r>
          </w:p>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（E3）</w:t>
            </w:r>
          </w:p>
        </w:tc>
        <w:tc>
          <w:tcPr>
            <w:tcW w:w="6812" w:type="dxa"/>
            <w:shd w:val="clear" w:color="auto" w:fill="auto"/>
            <w:vAlign w:val="center"/>
          </w:tcPr>
          <w:p>
            <w:pPr>
              <w:pStyle w:val="2"/>
              <w:spacing w:line="240" w:lineRule="auto"/>
              <w:ind w:firstLine="424"/>
              <w:rPr>
                <w:rFonts w:hint="default"/>
                <w:color w:val="000000"/>
                <w:spacing w:val="1"/>
                <w:sz w:val="21"/>
                <w:szCs w:val="21"/>
              </w:rPr>
            </w:pPr>
            <w:r>
              <w:rPr>
                <w:rFonts w:hint="default"/>
                <w:color w:val="000000"/>
                <w:spacing w:val="1"/>
                <w:sz w:val="21"/>
                <w:szCs w:val="21"/>
              </w:rPr>
              <w:t>企业周边5公里范围内居住区、医疗卫生机构、文化教育机构、科研单位、行政机关、企事业单位、商场、公园等入口总数1万人以下，且企业周边500米范围内人口总数500人以下。</w:t>
            </w:r>
          </w:p>
        </w:tc>
      </w:tr>
    </w:tbl>
    <w:p>
      <w:pPr>
        <w:autoSpaceDE w:val="0"/>
        <w:autoSpaceDN w:val="0"/>
        <w:adjustRightInd w:val="0"/>
        <w:spacing w:line="360" w:lineRule="auto"/>
        <w:ind w:firstLine="480" w:firstLineChars="200"/>
        <w:rPr>
          <w:color w:val="000000"/>
          <w:sz w:val="24"/>
        </w:rPr>
      </w:pP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Lines="100" w:afterLines="50" w:line="360" w:lineRule="auto"/>
        <w:outlineLvl w:val="0"/>
        <w:rPr>
          <w:b/>
          <w:bCs/>
          <w:color w:val="000000"/>
          <w:sz w:val="24"/>
        </w:rPr>
      </w:pPr>
      <w:bookmarkStart w:id="98" w:name="_Toc10464"/>
      <w:r>
        <w:rPr>
          <w:b/>
          <w:bCs/>
          <w:color w:val="000000"/>
          <w:sz w:val="24"/>
        </w:rPr>
        <w:t>7.1.4突发大气环境事件风险等级确定</w:t>
      </w:r>
      <w:bookmarkEnd w:id="98"/>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根据企业周边大气环境风险受体敏感程度（E）、涉气风险物质数量与临界量比值（Q）和生产工艺过程与大气环境风险控制水平（M），按照表7-6确定企业突发大气环境事件风险等级。</w:t>
      </w:r>
    </w:p>
    <w:p>
      <w:pPr>
        <w:autoSpaceDE w:val="0"/>
        <w:autoSpaceDN w:val="0"/>
        <w:adjustRightInd w:val="0"/>
        <w:spacing w:line="360" w:lineRule="auto"/>
        <w:ind w:firstLine="422" w:firstLineChars="200"/>
        <w:jc w:val="center"/>
        <w:rPr>
          <w:color w:val="444444"/>
          <w:shd w:val="clear" w:color="auto" w:fill="FFFFFF"/>
        </w:rPr>
      </w:pPr>
      <w:r>
        <w:rPr>
          <w:b/>
          <w:bCs/>
          <w:szCs w:val="21"/>
        </w:rPr>
        <w:t>表7-6  企业突发大气环境事件风险等级</w:t>
      </w:r>
      <w:r>
        <w:rPr>
          <w:color w:val="000000"/>
          <w:spacing w:val="1"/>
          <w:szCs w:val="21"/>
        </w:rPr>
        <w:br w:type="textWrapping"/>
      </w:r>
      <w:r>
        <w:rPr>
          <w:color w:val="444444"/>
          <w:shd w:val="clear" w:color="auto" w:fill="FFFFFF"/>
        </w:rPr>
        <w:drawing>
          <wp:inline distT="0" distB="0" distL="0" distR="0">
            <wp:extent cx="4864735" cy="2510790"/>
            <wp:effectExtent l="0" t="0" r="12065" b="3810"/>
            <wp:docPr id="20" name="图片 27"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7" descr="IMG_263"/>
                    <pic:cNvPicPr>
                      <a:picLocks noChangeAspect="1" noChangeArrowheads="1"/>
                    </pic:cNvPicPr>
                  </pic:nvPicPr>
                  <pic:blipFill>
                    <a:blip r:embed="rId44" cstate="print"/>
                    <a:srcRect t="6802" r="272"/>
                    <a:stretch>
                      <a:fillRect/>
                    </a:stretch>
                  </pic:blipFill>
                  <pic:spPr>
                    <a:xfrm>
                      <a:off x="0" y="0"/>
                      <a:ext cx="4864735" cy="2510790"/>
                    </a:xfrm>
                    <a:prstGeom prst="rect">
                      <a:avLst/>
                    </a:prstGeom>
                    <a:noFill/>
                    <a:ln w="9525">
                      <a:noFill/>
                      <a:miter lim="800000"/>
                      <a:headEnd/>
                      <a:tailEnd/>
                    </a:ln>
                  </pic:spPr>
                </pic:pic>
              </a:graphicData>
            </a:graphic>
          </wp:inline>
        </w:drawing>
      </w:r>
    </w:p>
    <w:p>
      <w:pPr>
        <w:autoSpaceDE w:val="0"/>
        <w:autoSpaceDN w:val="0"/>
        <w:adjustRightInd w:val="0"/>
        <w:spacing w:line="360" w:lineRule="auto"/>
        <w:ind w:firstLine="480" w:firstLineChars="200"/>
        <w:jc w:val="center"/>
        <w:rPr>
          <w:color w:val="000000"/>
          <w:sz w:val="24"/>
        </w:rPr>
      </w:pP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Lines="100" w:afterLines="50" w:line="360" w:lineRule="auto"/>
        <w:outlineLvl w:val="0"/>
        <w:rPr>
          <w:color w:val="444444"/>
          <w:sz w:val="24"/>
          <w:shd w:val="clear" w:color="auto" w:fill="FFFFFF"/>
        </w:rPr>
      </w:pPr>
      <w:bookmarkStart w:id="99" w:name="_Toc2917"/>
      <w:bookmarkStart w:id="100" w:name="_Toc14729"/>
      <w:bookmarkStart w:id="101" w:name="_Toc5877"/>
      <w:r>
        <w:rPr>
          <w:b/>
          <w:bCs/>
          <w:color w:val="000000"/>
          <w:sz w:val="24"/>
        </w:rPr>
        <w:t>7.1.5突发大气环境事件等级表征</w:t>
      </w:r>
      <w:bookmarkEnd w:id="99"/>
      <w:bookmarkEnd w:id="100"/>
      <w:bookmarkEnd w:id="101"/>
    </w:p>
    <w:p>
      <w:pPr>
        <w:pStyle w:val="2"/>
        <w:ind w:firstLine="484"/>
        <w:jc w:val="both"/>
        <w:rPr>
          <w:rFonts w:hint="default"/>
          <w:color w:val="000000"/>
          <w:spacing w:val="1"/>
          <w:szCs w:val="24"/>
        </w:rPr>
      </w:pPr>
      <w:r>
        <w:rPr>
          <w:rFonts w:hint="default"/>
          <w:color w:val="000000"/>
          <w:spacing w:val="1"/>
          <w:szCs w:val="24"/>
        </w:rPr>
        <w:t>企业突发大气环境事件风险等级表征分为两种情况：</w:t>
      </w:r>
    </w:p>
    <w:p>
      <w:pPr>
        <w:pStyle w:val="2"/>
        <w:ind w:firstLine="484"/>
        <w:jc w:val="both"/>
        <w:rPr>
          <w:rFonts w:hint="default"/>
          <w:color w:val="000000"/>
          <w:spacing w:val="1"/>
          <w:szCs w:val="24"/>
        </w:rPr>
      </w:pPr>
      <w:r>
        <w:rPr>
          <w:rFonts w:hint="default"/>
          <w:color w:val="000000"/>
          <w:spacing w:val="1"/>
          <w:szCs w:val="24"/>
        </w:rPr>
        <w:t>（1）Q＜1时，企业突发大气环境事件风险等级表示为</w:t>
      </w:r>
      <w:r>
        <w:rPr>
          <w:color w:val="000000"/>
          <w:spacing w:val="1"/>
          <w:szCs w:val="24"/>
        </w:rPr>
        <w:t>“</w:t>
      </w:r>
      <w:r>
        <w:rPr>
          <w:rFonts w:hint="default"/>
          <w:color w:val="000000"/>
          <w:spacing w:val="1"/>
          <w:szCs w:val="24"/>
        </w:rPr>
        <w:t>一般-</w:t>
      </w:r>
    </w:p>
    <w:p>
      <w:pPr>
        <w:pStyle w:val="2"/>
        <w:ind w:firstLine="484"/>
        <w:jc w:val="both"/>
        <w:rPr>
          <w:rFonts w:hint="default"/>
          <w:color w:val="000000"/>
          <w:spacing w:val="1"/>
          <w:szCs w:val="24"/>
        </w:rPr>
      </w:pPr>
      <w:r>
        <w:rPr>
          <w:rFonts w:hint="default"/>
          <w:color w:val="000000"/>
          <w:spacing w:val="1"/>
          <w:szCs w:val="24"/>
        </w:rPr>
        <w:t>大气（Q0）</w:t>
      </w:r>
      <w:r>
        <w:rPr>
          <w:color w:val="000000"/>
          <w:spacing w:val="1"/>
          <w:szCs w:val="24"/>
        </w:rPr>
        <w:t>”</w:t>
      </w:r>
      <w:r>
        <w:rPr>
          <w:rFonts w:hint="default"/>
          <w:color w:val="000000"/>
          <w:spacing w:val="1"/>
          <w:szCs w:val="24"/>
        </w:rPr>
        <w:t>。</w:t>
      </w:r>
    </w:p>
    <w:p>
      <w:pPr>
        <w:pStyle w:val="2"/>
        <w:ind w:firstLine="484"/>
        <w:jc w:val="both"/>
        <w:rPr>
          <w:rFonts w:hint="default"/>
          <w:color w:val="000000"/>
          <w:spacing w:val="1"/>
          <w:szCs w:val="24"/>
        </w:rPr>
      </w:pPr>
      <w:r>
        <w:rPr>
          <w:rFonts w:hint="default"/>
          <w:color w:val="000000"/>
          <w:spacing w:val="1"/>
          <w:szCs w:val="24"/>
        </w:rPr>
        <w:t>（2）Q≥1时，企业突发大气环境事件风险等级表示为</w:t>
      </w:r>
      <w:r>
        <w:rPr>
          <w:color w:val="000000"/>
          <w:spacing w:val="1"/>
          <w:szCs w:val="24"/>
        </w:rPr>
        <w:t>“</w:t>
      </w:r>
      <w:r>
        <w:rPr>
          <w:rFonts w:hint="default"/>
          <w:color w:val="000000"/>
          <w:spacing w:val="1"/>
          <w:szCs w:val="24"/>
        </w:rPr>
        <w:t>环境风</w:t>
      </w:r>
    </w:p>
    <w:p>
      <w:pPr>
        <w:pStyle w:val="2"/>
        <w:ind w:firstLine="484"/>
        <w:jc w:val="both"/>
        <w:rPr>
          <w:rFonts w:hint="default"/>
          <w:color w:val="000000"/>
          <w:spacing w:val="1"/>
          <w:szCs w:val="24"/>
        </w:rPr>
      </w:pPr>
      <w:r>
        <w:rPr>
          <w:rFonts w:hint="default"/>
          <w:color w:val="000000"/>
          <w:spacing w:val="1"/>
          <w:szCs w:val="24"/>
        </w:rPr>
        <w:t>险等级-大气（Q水平-M类型-E类型）</w:t>
      </w:r>
      <w:r>
        <w:rPr>
          <w:color w:val="000000"/>
          <w:spacing w:val="1"/>
          <w:szCs w:val="24"/>
        </w:rPr>
        <w:t>”</w:t>
      </w:r>
      <w:r>
        <w:rPr>
          <w:rFonts w:hint="default"/>
          <w:color w:val="000000"/>
          <w:spacing w:val="1"/>
          <w:szCs w:val="24"/>
        </w:rPr>
        <w:t>。</w:t>
      </w:r>
    </w:p>
    <w:p>
      <w:pPr>
        <w:widowControl/>
        <w:jc w:val="left"/>
        <w:rPr>
          <w:bCs/>
          <w:color w:val="000000"/>
          <w:spacing w:val="1"/>
          <w:kern w:val="0"/>
          <w:sz w:val="24"/>
        </w:rPr>
      </w:pPr>
      <w:r>
        <w:rPr>
          <w:color w:val="000000"/>
          <w:spacing w:val="1"/>
          <w:kern w:val="0"/>
          <w:sz w:val="24"/>
        </w:rPr>
        <w:t>根据以上计算结果及辨识，Q=</w:t>
      </w:r>
      <w:r>
        <w:rPr>
          <w:rFonts w:hint="eastAsia" w:ascii="Times New Roman" w:hAnsi="Times New Roman" w:cs="Times New Roman"/>
          <w:color w:val="000000" w:themeColor="text1"/>
          <w:sz w:val="24"/>
          <w:szCs w:val="24"/>
          <w:lang w:val="en-US" w:eastAsia="zh-CN"/>
        </w:rPr>
        <w:t>0.295</w:t>
      </w:r>
      <w:r>
        <w:rPr>
          <w:rFonts w:hint="eastAsia"/>
          <w:color w:val="000000"/>
          <w:sz w:val="24"/>
        </w:rPr>
        <w:t>，</w:t>
      </w:r>
      <w:r>
        <w:rPr>
          <w:color w:val="000000"/>
          <w:spacing w:val="1"/>
          <w:kern w:val="0"/>
          <w:sz w:val="24"/>
        </w:rPr>
        <w:t>风险物质临界量比值为Q0，加油站突发大气环境风险等级为</w:t>
      </w:r>
      <w:r>
        <w:rPr>
          <w:rFonts w:hint="eastAsia"/>
          <w:color w:val="000000"/>
          <w:spacing w:val="1"/>
          <w:kern w:val="0"/>
          <w:sz w:val="24"/>
        </w:rPr>
        <w:t>“</w:t>
      </w:r>
      <w:r>
        <w:rPr>
          <w:b/>
          <w:bCs/>
          <w:color w:val="000000"/>
          <w:spacing w:val="1"/>
          <w:kern w:val="0"/>
          <w:sz w:val="24"/>
        </w:rPr>
        <w:t>一般-大气（Q0）</w:t>
      </w:r>
      <w:r>
        <w:rPr>
          <w:rFonts w:hint="eastAsia"/>
          <w:color w:val="000000"/>
          <w:spacing w:val="1"/>
          <w:kern w:val="0"/>
          <w:sz w:val="24"/>
        </w:rPr>
        <w:t>”</w:t>
      </w:r>
      <w:r>
        <w:rPr>
          <w:bCs/>
          <w:color w:val="000000"/>
          <w:spacing w:val="1"/>
          <w:kern w:val="0"/>
          <w:sz w:val="24"/>
        </w:rPr>
        <w:t>。</w:t>
      </w:r>
    </w:p>
    <w:p>
      <w:pPr>
        <w:autoSpaceDE w:val="0"/>
        <w:autoSpaceDN w:val="0"/>
        <w:adjustRightInd w:val="0"/>
        <w:snapToGrid w:val="0"/>
        <w:spacing w:beforeLines="100" w:afterLines="50" w:line="360" w:lineRule="auto"/>
        <w:outlineLvl w:val="0"/>
        <w:rPr>
          <w:b/>
          <w:bCs/>
          <w:color w:val="000000"/>
          <w:sz w:val="24"/>
        </w:rPr>
      </w:pPr>
      <w:bookmarkStart w:id="102" w:name="_Toc9997"/>
      <w:bookmarkStart w:id="103" w:name="_Toc362"/>
      <w:bookmarkStart w:id="104" w:name="_Toc5959"/>
      <w:r>
        <w:rPr>
          <w:b/>
          <w:bCs/>
          <w:color w:val="000000"/>
          <w:sz w:val="24"/>
        </w:rPr>
        <w:t>7.2突发水环境事件风险分级</w:t>
      </w:r>
      <w:bookmarkEnd w:id="102"/>
      <w:bookmarkEnd w:id="103"/>
      <w:bookmarkEnd w:id="104"/>
    </w:p>
    <w:p>
      <w:pPr>
        <w:autoSpaceDE w:val="0"/>
        <w:autoSpaceDN w:val="0"/>
        <w:adjustRightInd w:val="0"/>
        <w:snapToGrid w:val="0"/>
        <w:spacing w:beforeLines="100" w:afterLines="50" w:line="360" w:lineRule="auto"/>
        <w:outlineLvl w:val="0"/>
        <w:rPr>
          <w:b/>
          <w:bCs/>
          <w:color w:val="000000"/>
          <w:sz w:val="24"/>
        </w:rPr>
      </w:pPr>
      <w:bookmarkStart w:id="105" w:name="_Toc12315"/>
      <w:bookmarkStart w:id="106" w:name="_Toc7578"/>
      <w:bookmarkStart w:id="107" w:name="_Toc4479"/>
      <w:r>
        <w:rPr>
          <w:b/>
          <w:bCs/>
          <w:color w:val="000000"/>
          <w:sz w:val="24"/>
        </w:rPr>
        <w:t>7.2.1计算涉水风险物质数量与临界量比值（Q）</w:t>
      </w:r>
      <w:bookmarkEnd w:id="105"/>
      <w:bookmarkEnd w:id="106"/>
      <w:bookmarkEnd w:id="107"/>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涉水风险物质包括附录A中的第三、第四、第五、第六、第七和第八部分全部风险物质，以及第一、第二部分中溶于水和遇水发生反应的风险物质，具体包括：溶于水的硒化氢、甲醛、乙二腈、二氧化氯、氯化氢、氨、环氧乙烷、甲胺、丁烷、二甲胺、一氧化二氯，砷化氢、二氧化氮、三甲胺、二氧化硫、三氟化硼、硅烷、溴化氢、氯化氰、乙胺、二甲醚，以及遇水发生反应的乙烯酮、氟、四氟化硫、三氟溴乙烯。</w:t>
      </w:r>
      <w:r>
        <w:rPr>
          <w:rFonts w:ascii="Times New Roman" w:hAnsi="Times New Roman"/>
          <w:color w:val="000000"/>
          <w:spacing w:val="1"/>
        </w:rPr>
        <w:br w:type="textWrapping"/>
      </w:r>
      <w:r>
        <w:rPr>
          <w:rFonts w:ascii="Times New Roman" w:hAnsi="Times New Roman"/>
          <w:color w:val="000000"/>
          <w:spacing w:val="1"/>
        </w:rPr>
        <w:t>　　判断企业生产原料、产品、中间产品、副产品、催化剂、辅助生产物料、“三废”污染物等是否涉及水环境风险物质，计算涉水风险物质（混合或稀释的风险物质按其组分比例折算成纯物质）与其临界量的比值 Q：</w:t>
      </w:r>
    </w:p>
    <w:p>
      <w:pPr>
        <w:pStyle w:val="13"/>
        <w:numPr>
          <w:ilvl w:val="0"/>
          <w:numId w:val="1"/>
        </w:numPr>
        <w:shd w:val="clear" w:color="auto" w:fill="FFFFFF"/>
        <w:spacing w:beforeAutospacing="0" w:afterAutospacing="0" w:line="360" w:lineRule="auto"/>
        <w:ind w:firstLine="480" w:firstLineChars="200"/>
        <w:rPr>
          <w:rFonts w:ascii="Times New Roman" w:hAnsi="Times New Roman"/>
          <w:color w:val="000000"/>
        </w:rPr>
      </w:pPr>
      <w:r>
        <w:rPr>
          <w:rFonts w:ascii="Times New Roman" w:hAnsi="Times New Roman"/>
          <w:color w:val="000000"/>
        </w:rPr>
        <w:t>当企业只涉及一种风险物质时，该物质的数量与其临界量比值，即为 Q。</w:t>
      </w:r>
      <w:r>
        <w:rPr>
          <w:rFonts w:ascii="Times New Roman" w:hAnsi="Times New Roman"/>
          <w:color w:val="000000"/>
        </w:rPr>
        <w:br w:type="textWrapping"/>
      </w:r>
      <w:r>
        <w:rPr>
          <w:rFonts w:ascii="Times New Roman" w:hAnsi="Times New Roman"/>
          <w:color w:val="000000"/>
        </w:rPr>
        <w:t>（2）当企业存在多种风险物质时，则按如下公式计算：</w:t>
      </w:r>
    </w:p>
    <w:p>
      <w:pPr>
        <w:pStyle w:val="13"/>
        <w:shd w:val="clear" w:color="auto" w:fill="FFFFFF"/>
        <w:spacing w:beforeAutospacing="0" w:afterAutospacing="0" w:line="360" w:lineRule="auto"/>
        <w:rPr>
          <w:rFonts w:ascii="Times New Roman" w:hAnsi="Times New Roman"/>
          <w:color w:val="000000"/>
        </w:rPr>
      </w:pPr>
      <w:r>
        <w:rPr>
          <w:rFonts w:ascii="Times New Roman" w:hAnsi="Times New Roman"/>
          <w:color w:val="444444"/>
          <w:shd w:val="clear" w:color="auto" w:fill="FFFFFF"/>
        </w:rPr>
        <w:drawing>
          <wp:inline distT="0" distB="0" distL="0" distR="0">
            <wp:extent cx="5143500" cy="466725"/>
            <wp:effectExtent l="0" t="0" r="7620" b="5715"/>
            <wp:docPr id="2" name="图片 28"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8" descr="IMG_257"/>
                    <pic:cNvPicPr>
                      <a:picLocks noChangeAspect="1" noChangeArrowheads="1"/>
                    </pic:cNvPicPr>
                  </pic:nvPicPr>
                  <pic:blipFill>
                    <a:blip r:embed="rId40" cstate="print"/>
                    <a:srcRect t="8519" r="12273"/>
                    <a:stretch>
                      <a:fillRect/>
                    </a:stretch>
                  </pic:blipFill>
                  <pic:spPr>
                    <a:xfrm>
                      <a:off x="0" y="0"/>
                      <a:ext cx="5143500" cy="466725"/>
                    </a:xfrm>
                    <a:prstGeom prst="rect">
                      <a:avLst/>
                    </a:prstGeom>
                    <a:noFill/>
                    <a:ln w="9525">
                      <a:noFill/>
                      <a:miter lim="800000"/>
                      <a:headEnd/>
                      <a:tailEnd/>
                    </a:ln>
                  </pic:spPr>
                </pic:pic>
              </a:graphicData>
            </a:graphic>
          </wp:inline>
        </w:drawing>
      </w:r>
      <w:r>
        <w:rPr>
          <w:rFonts w:ascii="Times New Roman" w:hAnsi="Times New Roman"/>
          <w:color w:val="444444"/>
          <w:shd w:val="clear" w:color="auto" w:fill="FFFFFF"/>
        </w:rPr>
        <w:br w:type="textWrapping"/>
      </w:r>
      <w:r>
        <w:rPr>
          <w:rFonts w:ascii="Times New Roman" w:hAnsi="Times New Roman"/>
          <w:color w:val="444444"/>
          <w:shd w:val="clear" w:color="auto" w:fill="FFFFFF"/>
        </w:rPr>
        <w:t>　</w:t>
      </w:r>
      <w:r>
        <w:rPr>
          <w:rFonts w:ascii="Times New Roman" w:hAnsi="Times New Roman"/>
          <w:color w:val="000000"/>
        </w:rPr>
        <w:t>　式中：w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w:t>
      </w:r>
      <w:r>
        <w:rPr>
          <w:rFonts w:ascii="Times New Roman" w:hAnsi="Times New Roman"/>
          <w:color w:val="000000"/>
        </w:rPr>
        <w:t xml:space="preserve"> ——每种风险物质的存在量，t；</w:t>
      </w:r>
      <w:r>
        <w:rPr>
          <w:rFonts w:ascii="Times New Roman" w:hAnsi="Times New Roman"/>
          <w:color w:val="000000"/>
        </w:rPr>
        <w:br w:type="textWrapping"/>
      </w:r>
      <w:r>
        <w:rPr>
          <w:rFonts w:ascii="Times New Roman" w:hAnsi="Times New Roman"/>
          <w:color w:val="000000"/>
        </w:rPr>
        <w:t>　　      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 </w:t>
      </w:r>
      <w:r>
        <w:rPr>
          <w:rFonts w:ascii="Times New Roman" w:hAnsi="Times New Roman"/>
          <w:color w:val="000000"/>
        </w:rPr>
        <w:t>——每种风险物质的临界量，t。</w:t>
      </w:r>
      <w:r>
        <w:rPr>
          <w:rFonts w:ascii="Times New Roman" w:hAnsi="Times New Roman"/>
          <w:color w:val="000000"/>
        </w:rPr>
        <w:br w:type="textWrapping"/>
      </w:r>
      <w:r>
        <w:rPr>
          <w:rFonts w:ascii="Times New Roman" w:hAnsi="Times New Roman"/>
          <w:color w:val="000000"/>
        </w:rPr>
        <w:t>　　按照数值大小，将 Q 划分为 4 个水平：</w:t>
      </w:r>
      <w:r>
        <w:rPr>
          <w:rFonts w:ascii="Times New Roman" w:hAnsi="Times New Roman"/>
          <w:color w:val="000000"/>
        </w:rPr>
        <w:br w:type="textWrapping"/>
      </w:r>
      <w:r>
        <w:rPr>
          <w:rFonts w:ascii="Times New Roman" w:hAnsi="Times New Roman"/>
          <w:color w:val="000000"/>
        </w:rPr>
        <w:t>　　（1）Q＜1，以 Q0 表示，企业直接评为一般环境风险等级；</w:t>
      </w:r>
      <w:r>
        <w:rPr>
          <w:rFonts w:ascii="Times New Roman" w:hAnsi="Times New Roman"/>
          <w:color w:val="000000"/>
        </w:rPr>
        <w:br w:type="textWrapping"/>
      </w:r>
      <w:r>
        <w:rPr>
          <w:rFonts w:ascii="Times New Roman" w:hAnsi="Times New Roman"/>
          <w:color w:val="000000"/>
        </w:rPr>
        <w:t>　　（2）1≤Q＜10，以 Q1 表示；</w:t>
      </w:r>
      <w:r>
        <w:rPr>
          <w:rFonts w:ascii="Times New Roman" w:hAnsi="Times New Roman"/>
          <w:color w:val="000000"/>
        </w:rPr>
        <w:br w:type="textWrapping"/>
      </w:r>
      <w:r>
        <w:rPr>
          <w:rFonts w:ascii="Times New Roman" w:hAnsi="Times New Roman"/>
          <w:color w:val="000000"/>
        </w:rPr>
        <w:t>　　（3）10≤Q＜100，以 Q2 表示；</w:t>
      </w:r>
      <w:r>
        <w:rPr>
          <w:rFonts w:ascii="Times New Roman" w:hAnsi="Times New Roman"/>
          <w:color w:val="000000"/>
        </w:rPr>
        <w:br w:type="textWrapping"/>
      </w:r>
      <w:r>
        <w:rPr>
          <w:rFonts w:ascii="Times New Roman" w:hAnsi="Times New Roman"/>
          <w:color w:val="000000"/>
        </w:rPr>
        <w:t>　　（4）Q≥100，以 Q3 表示。</w:t>
      </w:r>
    </w:p>
    <w:p>
      <w:pPr>
        <w:autoSpaceDE w:val="0"/>
        <w:autoSpaceDN w:val="0"/>
        <w:adjustRightInd w:val="0"/>
        <w:spacing w:line="360" w:lineRule="auto"/>
        <w:ind w:firstLine="480" w:firstLineChars="200"/>
        <w:rPr>
          <w:sz w:val="24"/>
        </w:rPr>
      </w:pPr>
      <w:r>
        <w:rPr>
          <w:color w:val="000000"/>
          <w:sz w:val="24"/>
        </w:rPr>
        <w:t>根据企业生产原料、产品、中间产品、副产品、催化剂、辅助生产物料、燃料、</w:t>
      </w:r>
      <w:r>
        <w:rPr>
          <w:rFonts w:hint="eastAsia"/>
          <w:color w:val="000000"/>
          <w:sz w:val="24"/>
        </w:rPr>
        <w:t>“</w:t>
      </w:r>
      <w:r>
        <w:rPr>
          <w:color w:val="000000"/>
          <w:sz w:val="24"/>
        </w:rPr>
        <w:t>三废</w:t>
      </w:r>
      <w:r>
        <w:rPr>
          <w:rFonts w:hint="eastAsia"/>
          <w:color w:val="000000"/>
          <w:sz w:val="24"/>
        </w:rPr>
        <w:t>”</w:t>
      </w:r>
      <w:r>
        <w:rPr>
          <w:color w:val="000000"/>
          <w:sz w:val="24"/>
        </w:rPr>
        <w:t>污染物使用和产生情况，参照附录A风险物质临界量，</w:t>
      </w:r>
      <w:r>
        <w:rPr>
          <w:color w:val="000000"/>
          <w:spacing w:val="1"/>
          <w:kern w:val="0"/>
          <w:sz w:val="24"/>
          <w:lang w:val="zh-CN"/>
        </w:rPr>
        <w:t>项目涉及的汽油</w:t>
      </w:r>
      <w:r>
        <w:rPr>
          <w:color w:val="000000"/>
          <w:spacing w:val="1"/>
          <w:kern w:val="0"/>
          <w:sz w:val="24"/>
        </w:rPr>
        <w:t>的临界量与项目暂存量如下表所示。</w:t>
      </w:r>
    </w:p>
    <w:p>
      <w:pPr>
        <w:autoSpaceDE w:val="0"/>
        <w:autoSpaceDN w:val="0"/>
        <w:adjustRightInd w:val="0"/>
        <w:spacing w:line="360" w:lineRule="auto"/>
        <w:ind w:firstLine="480"/>
        <w:jc w:val="center"/>
        <w:rPr>
          <w:b/>
          <w:bCs/>
          <w:color w:val="000000"/>
          <w:szCs w:val="21"/>
        </w:rPr>
      </w:pPr>
      <w:r>
        <w:rPr>
          <w:b/>
          <w:bCs/>
          <w:color w:val="000000"/>
          <w:spacing w:val="1"/>
          <w:kern w:val="0"/>
          <w:szCs w:val="21"/>
        </w:rPr>
        <w:t xml:space="preserve">表7-7 </w:t>
      </w:r>
      <w:r>
        <w:rPr>
          <w:b/>
          <w:bCs/>
          <w:color w:val="000000"/>
          <w:szCs w:val="21"/>
        </w:rPr>
        <w:t>物质的临界量与本项目暂存量一览表</w:t>
      </w:r>
    </w:p>
    <w:tbl>
      <w:tblPr>
        <w:tblStyle w:val="14"/>
        <w:tblpPr w:leftFromText="180" w:rightFromText="180" w:vertAnchor="text" w:horzAnchor="page" w:tblpX="2049" w:tblpY="113"/>
        <w:tblOverlap w:val="never"/>
        <w:tblW w:w="78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2"/>
        <w:gridCol w:w="1097"/>
        <w:gridCol w:w="1103"/>
        <w:gridCol w:w="1166"/>
        <w:gridCol w:w="1059"/>
        <w:gridCol w:w="1394"/>
        <w:gridCol w:w="9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7" w:hRule="atLeast"/>
        </w:trPr>
        <w:tc>
          <w:tcPr>
            <w:tcW w:w="1042" w:type="dxa"/>
            <w:vMerge w:val="restart"/>
            <w:vAlign w:val="center"/>
          </w:tcPr>
          <w:p>
            <w:pPr>
              <w:jc w:val="center"/>
              <w:rPr>
                <w:b/>
                <w:bCs/>
                <w:szCs w:val="21"/>
              </w:rPr>
            </w:pPr>
            <w:r>
              <w:rPr>
                <w:b/>
                <w:bCs/>
                <w:szCs w:val="21"/>
              </w:rPr>
              <w:t>物质名称</w:t>
            </w:r>
          </w:p>
        </w:tc>
        <w:tc>
          <w:tcPr>
            <w:tcW w:w="2200" w:type="dxa"/>
            <w:gridSpan w:val="2"/>
            <w:vAlign w:val="center"/>
          </w:tcPr>
          <w:p>
            <w:pPr>
              <w:jc w:val="center"/>
              <w:rPr>
                <w:b/>
                <w:bCs/>
                <w:szCs w:val="21"/>
              </w:rPr>
            </w:pPr>
            <w:r>
              <w:rPr>
                <w:b/>
                <w:bCs/>
                <w:szCs w:val="21"/>
              </w:rPr>
              <w:t>临界量（t）</w:t>
            </w:r>
          </w:p>
        </w:tc>
        <w:tc>
          <w:tcPr>
            <w:tcW w:w="2225" w:type="dxa"/>
            <w:gridSpan w:val="2"/>
            <w:vAlign w:val="center"/>
          </w:tcPr>
          <w:p>
            <w:pPr>
              <w:jc w:val="center"/>
              <w:rPr>
                <w:b/>
                <w:bCs/>
                <w:szCs w:val="21"/>
              </w:rPr>
            </w:pPr>
            <w:r>
              <w:rPr>
                <w:b/>
                <w:bCs/>
                <w:szCs w:val="21"/>
              </w:rPr>
              <w:t>实际量（t）</w:t>
            </w:r>
          </w:p>
        </w:tc>
        <w:tc>
          <w:tcPr>
            <w:tcW w:w="1394" w:type="dxa"/>
            <w:vMerge w:val="restart"/>
            <w:vAlign w:val="center"/>
          </w:tcPr>
          <w:p>
            <w:pPr>
              <w:jc w:val="center"/>
              <w:rPr>
                <w:b/>
                <w:bCs/>
                <w:szCs w:val="21"/>
              </w:rPr>
            </w:pPr>
            <w:r>
              <w:rPr>
                <w:b/>
                <w:bCs/>
                <w:szCs w:val="21"/>
              </w:rPr>
              <w:t>重大危险源</w:t>
            </w:r>
          </w:p>
        </w:tc>
        <w:tc>
          <w:tcPr>
            <w:tcW w:w="957" w:type="dxa"/>
            <w:vMerge w:val="restart"/>
            <w:vAlign w:val="center"/>
          </w:tcPr>
          <w:p>
            <w:pPr>
              <w:jc w:val="center"/>
              <w:rPr>
                <w:b/>
                <w:bCs/>
                <w:szCs w:val="21"/>
              </w:rPr>
            </w:pPr>
            <w:r>
              <w:rPr>
                <w:b/>
                <w:bCs/>
                <w:szCs w:val="21"/>
              </w:rPr>
              <w:t>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atLeast"/>
        </w:trPr>
        <w:tc>
          <w:tcPr>
            <w:tcW w:w="1042" w:type="dxa"/>
            <w:vMerge w:val="continue"/>
            <w:vAlign w:val="center"/>
          </w:tcPr>
          <w:p>
            <w:pPr>
              <w:jc w:val="center"/>
              <w:rPr>
                <w:szCs w:val="21"/>
              </w:rPr>
            </w:pPr>
          </w:p>
        </w:tc>
        <w:tc>
          <w:tcPr>
            <w:tcW w:w="1097" w:type="dxa"/>
            <w:vAlign w:val="center"/>
          </w:tcPr>
          <w:p>
            <w:pPr>
              <w:jc w:val="center"/>
              <w:rPr>
                <w:b/>
                <w:szCs w:val="21"/>
              </w:rPr>
            </w:pPr>
            <w:r>
              <w:rPr>
                <w:b/>
                <w:szCs w:val="21"/>
              </w:rPr>
              <w:t>生产场所</w:t>
            </w:r>
          </w:p>
        </w:tc>
        <w:tc>
          <w:tcPr>
            <w:tcW w:w="1103" w:type="dxa"/>
            <w:vAlign w:val="center"/>
          </w:tcPr>
          <w:p>
            <w:pPr>
              <w:jc w:val="center"/>
              <w:rPr>
                <w:b/>
                <w:szCs w:val="21"/>
              </w:rPr>
            </w:pPr>
            <w:r>
              <w:rPr>
                <w:b/>
                <w:szCs w:val="21"/>
              </w:rPr>
              <w:t>贮存区</w:t>
            </w:r>
          </w:p>
        </w:tc>
        <w:tc>
          <w:tcPr>
            <w:tcW w:w="1166" w:type="dxa"/>
            <w:vAlign w:val="center"/>
          </w:tcPr>
          <w:p>
            <w:pPr>
              <w:jc w:val="center"/>
              <w:rPr>
                <w:b/>
                <w:szCs w:val="21"/>
              </w:rPr>
            </w:pPr>
            <w:r>
              <w:rPr>
                <w:b/>
                <w:szCs w:val="21"/>
              </w:rPr>
              <w:t>生产场所</w:t>
            </w:r>
          </w:p>
        </w:tc>
        <w:tc>
          <w:tcPr>
            <w:tcW w:w="1059" w:type="dxa"/>
            <w:vAlign w:val="center"/>
          </w:tcPr>
          <w:p>
            <w:pPr>
              <w:jc w:val="center"/>
              <w:rPr>
                <w:b/>
                <w:szCs w:val="21"/>
              </w:rPr>
            </w:pPr>
            <w:r>
              <w:rPr>
                <w:b/>
                <w:szCs w:val="21"/>
              </w:rPr>
              <w:t>贮存区</w:t>
            </w:r>
          </w:p>
        </w:tc>
        <w:tc>
          <w:tcPr>
            <w:tcW w:w="1394" w:type="dxa"/>
            <w:vMerge w:val="continue"/>
            <w:vAlign w:val="center"/>
          </w:tcPr>
          <w:p>
            <w:pPr>
              <w:jc w:val="center"/>
              <w:rPr>
                <w:szCs w:val="21"/>
              </w:rPr>
            </w:pPr>
          </w:p>
        </w:tc>
        <w:tc>
          <w:tcPr>
            <w:tcW w:w="957" w:type="dxa"/>
            <w:vMerge w:val="continue"/>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1042" w:type="dxa"/>
            <w:vAlign w:val="center"/>
          </w:tcPr>
          <w:p>
            <w:pPr>
              <w:jc w:val="center"/>
              <w:rPr>
                <w:szCs w:val="21"/>
              </w:rPr>
            </w:pPr>
            <w:r>
              <w:rPr>
                <w:szCs w:val="21"/>
              </w:rPr>
              <w:t>汽油</w:t>
            </w:r>
          </w:p>
        </w:tc>
        <w:tc>
          <w:tcPr>
            <w:tcW w:w="1097" w:type="dxa"/>
            <w:vAlign w:val="center"/>
          </w:tcPr>
          <w:p>
            <w:pPr>
              <w:jc w:val="center"/>
              <w:rPr>
                <w:szCs w:val="21"/>
              </w:rPr>
            </w:pPr>
            <w:r>
              <w:rPr>
                <w:szCs w:val="21"/>
              </w:rPr>
              <w:t>/</w:t>
            </w:r>
          </w:p>
        </w:tc>
        <w:tc>
          <w:tcPr>
            <w:tcW w:w="1103" w:type="dxa"/>
            <w:vAlign w:val="center"/>
          </w:tcPr>
          <w:p>
            <w:pPr>
              <w:jc w:val="center"/>
              <w:rPr>
                <w:szCs w:val="21"/>
              </w:rPr>
            </w:pPr>
            <w:r>
              <w:rPr>
                <w:szCs w:val="21"/>
              </w:rPr>
              <w:t>200t</w:t>
            </w:r>
          </w:p>
        </w:tc>
        <w:tc>
          <w:tcPr>
            <w:tcW w:w="1166" w:type="dxa"/>
            <w:vAlign w:val="center"/>
          </w:tcPr>
          <w:p>
            <w:pPr>
              <w:jc w:val="center"/>
              <w:rPr>
                <w:szCs w:val="21"/>
              </w:rPr>
            </w:pPr>
            <w:r>
              <w:rPr>
                <w:szCs w:val="21"/>
              </w:rPr>
              <w:t>/</w:t>
            </w:r>
          </w:p>
        </w:tc>
        <w:tc>
          <w:tcPr>
            <w:tcW w:w="1059" w:type="dxa"/>
            <w:vAlign w:val="center"/>
          </w:tcPr>
          <w:p>
            <w:pPr>
              <w:jc w:val="center"/>
              <w:rPr>
                <w:rFonts w:hint="default" w:eastAsia="宋体"/>
                <w:szCs w:val="21"/>
                <w:lang w:val="en-US" w:eastAsia="zh-CN"/>
              </w:rPr>
            </w:pPr>
            <w:r>
              <w:rPr>
                <w:rFonts w:hint="eastAsia"/>
                <w:szCs w:val="21"/>
                <w:lang w:val="en-US" w:eastAsia="zh-CN"/>
              </w:rPr>
              <w:t>38.88</w:t>
            </w:r>
          </w:p>
        </w:tc>
        <w:tc>
          <w:tcPr>
            <w:tcW w:w="1394" w:type="dxa"/>
            <w:vAlign w:val="center"/>
          </w:tcPr>
          <w:p>
            <w:pPr>
              <w:jc w:val="center"/>
              <w:rPr>
                <w:szCs w:val="21"/>
              </w:rPr>
            </w:pPr>
            <w:r>
              <w:rPr>
                <w:rFonts w:hint="eastAsia"/>
                <w:szCs w:val="21"/>
              </w:rPr>
              <w:t>易燃易爆</w:t>
            </w:r>
          </w:p>
        </w:tc>
        <w:tc>
          <w:tcPr>
            <w:tcW w:w="957" w:type="dxa"/>
            <w:vAlign w:val="center"/>
          </w:tcPr>
          <w:p>
            <w:pPr>
              <w:jc w:val="center"/>
              <w:rPr>
                <w:szCs w:val="21"/>
              </w:rPr>
            </w:pPr>
            <w:r>
              <w:rPr>
                <w:szCs w:val="21"/>
              </w:rPr>
              <w:t>油罐区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1042" w:type="dxa"/>
            <w:vAlign w:val="center"/>
          </w:tcPr>
          <w:p>
            <w:pPr>
              <w:jc w:val="center"/>
              <w:rPr>
                <w:szCs w:val="21"/>
              </w:rPr>
            </w:pPr>
            <w:r>
              <w:rPr>
                <w:rFonts w:hint="eastAsia"/>
                <w:szCs w:val="21"/>
              </w:rPr>
              <w:t>柴油</w:t>
            </w:r>
          </w:p>
        </w:tc>
        <w:tc>
          <w:tcPr>
            <w:tcW w:w="1097" w:type="dxa"/>
            <w:vAlign w:val="center"/>
          </w:tcPr>
          <w:p>
            <w:pPr>
              <w:jc w:val="center"/>
              <w:rPr>
                <w:szCs w:val="21"/>
              </w:rPr>
            </w:pPr>
            <w:r>
              <w:rPr>
                <w:rFonts w:hint="eastAsia"/>
                <w:szCs w:val="21"/>
              </w:rPr>
              <w:t>/</w:t>
            </w:r>
          </w:p>
        </w:tc>
        <w:tc>
          <w:tcPr>
            <w:tcW w:w="1103" w:type="dxa"/>
            <w:vAlign w:val="center"/>
          </w:tcPr>
          <w:p>
            <w:pPr>
              <w:jc w:val="center"/>
              <w:rPr>
                <w:szCs w:val="21"/>
              </w:rPr>
            </w:pPr>
            <w:r>
              <w:rPr>
                <w:szCs w:val="21"/>
              </w:rPr>
              <w:t>5</w:t>
            </w:r>
            <w:r>
              <w:rPr>
                <w:rFonts w:hint="eastAsia"/>
                <w:szCs w:val="21"/>
                <w:lang w:val="en-US" w:eastAsia="zh-CN"/>
              </w:rPr>
              <w:t>0</w:t>
            </w:r>
            <w:r>
              <w:rPr>
                <w:szCs w:val="21"/>
              </w:rPr>
              <w:t>00t</w:t>
            </w:r>
          </w:p>
        </w:tc>
        <w:tc>
          <w:tcPr>
            <w:tcW w:w="1166" w:type="dxa"/>
            <w:vAlign w:val="center"/>
          </w:tcPr>
          <w:p>
            <w:pPr>
              <w:jc w:val="center"/>
              <w:rPr>
                <w:szCs w:val="21"/>
              </w:rPr>
            </w:pPr>
            <w:r>
              <w:rPr>
                <w:rFonts w:hint="eastAsia"/>
                <w:szCs w:val="21"/>
              </w:rPr>
              <w:t>/</w:t>
            </w:r>
          </w:p>
        </w:tc>
        <w:tc>
          <w:tcPr>
            <w:tcW w:w="1059" w:type="dxa"/>
            <w:vAlign w:val="center"/>
          </w:tcPr>
          <w:p>
            <w:pPr>
              <w:jc w:val="center"/>
              <w:rPr>
                <w:rFonts w:hint="default" w:eastAsia="宋体"/>
                <w:szCs w:val="21"/>
                <w:lang w:val="en-US" w:eastAsia="zh-CN"/>
              </w:rPr>
            </w:pPr>
            <w:r>
              <w:rPr>
                <w:rFonts w:hint="eastAsia"/>
                <w:szCs w:val="21"/>
                <w:lang w:val="en-US" w:eastAsia="zh-CN"/>
              </w:rPr>
              <w:t>22.41</w:t>
            </w:r>
          </w:p>
        </w:tc>
        <w:tc>
          <w:tcPr>
            <w:tcW w:w="1394" w:type="dxa"/>
            <w:vAlign w:val="center"/>
          </w:tcPr>
          <w:p>
            <w:pPr>
              <w:jc w:val="center"/>
              <w:rPr>
                <w:szCs w:val="21"/>
              </w:rPr>
            </w:pPr>
            <w:r>
              <w:rPr>
                <w:rFonts w:hint="eastAsia"/>
                <w:szCs w:val="21"/>
              </w:rPr>
              <w:t>/</w:t>
            </w:r>
            <w:r>
              <w:rPr>
                <w:szCs w:val="21"/>
              </w:rPr>
              <w:t>/</w:t>
            </w:r>
          </w:p>
        </w:tc>
        <w:tc>
          <w:tcPr>
            <w:tcW w:w="957" w:type="dxa"/>
            <w:vAlign w:val="center"/>
          </w:tcPr>
          <w:p>
            <w:pPr>
              <w:jc w:val="center"/>
              <w:rPr>
                <w:szCs w:val="21"/>
              </w:rPr>
            </w:pPr>
            <w:r>
              <w:rPr>
                <w:rFonts w:hint="eastAsia"/>
                <w:szCs w:val="21"/>
              </w:rPr>
              <w:t>油罐区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042" w:type="dxa"/>
            <w:vAlign w:val="center"/>
          </w:tcPr>
          <w:p>
            <w:pPr>
              <w:jc w:val="center"/>
              <w:rPr>
                <w:szCs w:val="21"/>
              </w:rPr>
            </w:pPr>
          </w:p>
        </w:tc>
        <w:tc>
          <w:tcPr>
            <w:tcW w:w="4425" w:type="dxa"/>
            <w:gridSpan w:val="4"/>
            <w:vAlign w:val="center"/>
          </w:tcPr>
          <w:p>
            <w:pPr>
              <w:jc w:val="center"/>
              <w:rPr>
                <w:szCs w:val="21"/>
              </w:rPr>
            </w:pPr>
            <w:r>
              <w:rPr>
                <w:rFonts w:hint="eastAsia" w:ascii="Times New Roman" w:hAnsi="Times New Roman" w:cs="Times New Roman"/>
                <w:color w:val="000000" w:themeColor="text1"/>
                <w:sz w:val="21"/>
                <w:szCs w:val="21"/>
                <w:lang w:val="en-US" w:eastAsia="zh-CN"/>
              </w:rPr>
              <w:t>58.32/200 + 22.41/5000 =0.295</w:t>
            </w:r>
            <w:r>
              <w:rPr>
                <w:szCs w:val="21"/>
              </w:rPr>
              <w:t>＜1</w:t>
            </w:r>
          </w:p>
        </w:tc>
        <w:tc>
          <w:tcPr>
            <w:tcW w:w="1394" w:type="dxa"/>
            <w:vAlign w:val="center"/>
          </w:tcPr>
          <w:p>
            <w:pPr>
              <w:jc w:val="center"/>
              <w:rPr>
                <w:szCs w:val="21"/>
              </w:rPr>
            </w:pPr>
            <w:r>
              <w:rPr>
                <w:szCs w:val="21"/>
              </w:rPr>
              <w:t>否</w:t>
            </w:r>
          </w:p>
        </w:tc>
        <w:tc>
          <w:tcPr>
            <w:tcW w:w="957" w:type="dxa"/>
            <w:vAlign w:val="center"/>
          </w:tcPr>
          <w:p>
            <w:pPr>
              <w:jc w:val="center"/>
              <w:rPr>
                <w:szCs w:val="21"/>
              </w:rPr>
            </w:pPr>
          </w:p>
        </w:tc>
      </w:tr>
    </w:tbl>
    <w:p>
      <w:pPr>
        <w:autoSpaceDE w:val="0"/>
        <w:autoSpaceDN w:val="0"/>
        <w:adjustRightInd w:val="0"/>
        <w:spacing w:line="360" w:lineRule="auto"/>
        <w:ind w:firstLine="480" w:firstLineChars="200"/>
        <w:rPr>
          <w:color w:val="000000"/>
          <w:sz w:val="24"/>
        </w:rPr>
      </w:pPr>
      <w:r>
        <w:rPr>
          <w:color w:val="000000"/>
          <w:sz w:val="24"/>
        </w:rPr>
        <w:t>经计算，Q=</w:t>
      </w:r>
      <w:r>
        <w:rPr>
          <w:rFonts w:hint="eastAsia" w:ascii="Times New Roman" w:hAnsi="Times New Roman" w:cs="Times New Roman"/>
          <w:color w:val="000000" w:themeColor="text1"/>
          <w:sz w:val="24"/>
          <w:szCs w:val="24"/>
          <w:lang w:val="en-US" w:eastAsia="zh-CN"/>
        </w:rPr>
        <w:t>0.295</w:t>
      </w:r>
      <w:r>
        <w:rPr>
          <w:rFonts w:hint="eastAsia"/>
          <w:color w:val="000000"/>
          <w:sz w:val="24"/>
        </w:rPr>
        <w:t>＜1</w:t>
      </w:r>
    </w:p>
    <w:p>
      <w:pPr>
        <w:autoSpaceDE w:val="0"/>
        <w:autoSpaceDN w:val="0"/>
        <w:adjustRightInd w:val="0"/>
        <w:spacing w:line="360" w:lineRule="auto"/>
        <w:ind w:firstLine="480" w:firstLineChars="200"/>
        <w:rPr>
          <w:color w:val="000000"/>
          <w:sz w:val="24"/>
        </w:rPr>
      </w:pPr>
      <w:bookmarkStart w:id="108" w:name="_Toc32189"/>
      <w:bookmarkStart w:id="109" w:name="_Toc20900"/>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Lines="100" w:afterLines="50" w:line="360" w:lineRule="auto"/>
        <w:outlineLvl w:val="0"/>
        <w:rPr>
          <w:b/>
          <w:bCs/>
          <w:color w:val="000000"/>
          <w:sz w:val="24"/>
        </w:rPr>
      </w:pPr>
      <w:bookmarkStart w:id="110" w:name="_Toc24746"/>
      <w:r>
        <w:rPr>
          <w:b/>
          <w:bCs/>
          <w:color w:val="000000"/>
          <w:sz w:val="24"/>
        </w:rPr>
        <w:t>7.2.2生产工艺过程与水环境风险控制水平（M）评估</w:t>
      </w:r>
      <w:bookmarkEnd w:id="108"/>
      <w:bookmarkEnd w:id="109"/>
      <w:bookmarkEnd w:id="110"/>
    </w:p>
    <w:p>
      <w:pPr>
        <w:pStyle w:val="13"/>
        <w:shd w:val="clear" w:color="auto" w:fill="FFFFFF"/>
        <w:spacing w:beforeAutospacing="0" w:afterAutospacing="0" w:line="360" w:lineRule="auto"/>
        <w:ind w:firstLine="480" w:firstLineChars="200"/>
        <w:rPr>
          <w:rFonts w:ascii="Times New Roman" w:hAnsi="Times New Roman"/>
          <w:color w:val="000000"/>
          <w:kern w:val="2"/>
        </w:rPr>
      </w:pPr>
      <w:r>
        <w:rPr>
          <w:rFonts w:ascii="Times New Roman" w:hAnsi="Times New Roman"/>
          <w:color w:val="000000"/>
          <w:kern w:val="2"/>
        </w:rPr>
        <w:t>采用评分法对企业生产工艺过程、水环境风险防控措施及突发水环境事件发生情况进行评估，将各项指标分值累加，确定企业生产工艺过程与水环境风险控制水平（M）。</w:t>
      </w:r>
    </w:p>
    <w:p>
      <w:pPr>
        <w:autoSpaceDE w:val="0"/>
        <w:autoSpaceDN w:val="0"/>
        <w:adjustRightInd w:val="0"/>
        <w:snapToGrid w:val="0"/>
        <w:spacing w:beforeLines="100" w:afterLines="50" w:line="360" w:lineRule="auto"/>
        <w:outlineLvl w:val="0"/>
        <w:rPr>
          <w:color w:val="000000"/>
          <w:sz w:val="24"/>
        </w:rPr>
      </w:pPr>
      <w:bookmarkStart w:id="111" w:name="_Toc13155"/>
      <w:bookmarkStart w:id="112" w:name="_Toc421"/>
      <w:bookmarkStart w:id="113" w:name="_Toc2533"/>
      <w:r>
        <w:rPr>
          <w:b/>
          <w:bCs/>
          <w:color w:val="000000"/>
          <w:sz w:val="24"/>
        </w:rPr>
        <w:t>7.2.2.1生产工艺过程含有风险工艺和设备情况</w:t>
      </w:r>
      <w:bookmarkEnd w:id="111"/>
      <w:bookmarkEnd w:id="112"/>
      <w:bookmarkEnd w:id="113"/>
    </w:p>
    <w:p>
      <w:pPr>
        <w:pStyle w:val="13"/>
        <w:shd w:val="clear" w:color="auto" w:fill="FFFFFF"/>
        <w:spacing w:beforeAutospacing="0" w:afterAutospacing="0" w:line="360" w:lineRule="auto"/>
        <w:ind w:firstLine="480" w:firstLineChars="200"/>
        <w:rPr>
          <w:rFonts w:ascii="Times New Roman" w:hAnsi="Times New Roman"/>
          <w:color w:val="000000"/>
          <w:kern w:val="2"/>
        </w:rPr>
      </w:pPr>
      <w:r>
        <w:rPr>
          <w:rFonts w:ascii="Times New Roman" w:hAnsi="Times New Roman"/>
          <w:color w:val="000000"/>
          <w:kern w:val="2"/>
        </w:rPr>
        <w:t>对企业生产工艺过程含有风险工艺和设备情况的评估按照工艺单元进行，具有多套工艺单元的企业，对每套工艺单元分别评分并求和，该指标分值最高为30分。生产工艺风险及设备情况按照表7-8进行判断。</w:t>
      </w:r>
    </w:p>
    <w:p>
      <w:pPr>
        <w:rPr>
          <w:b/>
          <w:bCs/>
          <w:color w:val="000000"/>
          <w:spacing w:val="1"/>
          <w:kern w:val="0"/>
          <w:szCs w:val="21"/>
        </w:rPr>
      </w:pPr>
      <w:r>
        <w:rPr>
          <w:b/>
          <w:bCs/>
          <w:color w:val="000000"/>
          <w:spacing w:val="1"/>
          <w:kern w:val="0"/>
          <w:szCs w:val="21"/>
        </w:rPr>
        <w:br w:type="page"/>
      </w:r>
    </w:p>
    <w:p>
      <w:pPr>
        <w:widowControl/>
        <w:ind w:left="1680" w:leftChars="0" w:firstLine="420" w:firstLineChars="0"/>
        <w:jc w:val="left"/>
        <w:rPr>
          <w:b/>
          <w:bCs/>
          <w:color w:val="000000"/>
          <w:spacing w:val="1"/>
          <w:kern w:val="0"/>
          <w:szCs w:val="21"/>
        </w:rPr>
      </w:pPr>
      <w:r>
        <w:rPr>
          <w:b/>
          <w:bCs/>
          <w:color w:val="000000"/>
          <w:spacing w:val="1"/>
          <w:kern w:val="0"/>
          <w:szCs w:val="21"/>
        </w:rPr>
        <w:t>表7-8  企业生产工艺风险就设备</w:t>
      </w:r>
    </w:p>
    <w:p>
      <w:pPr>
        <w:autoSpaceDE w:val="0"/>
        <w:autoSpaceDN w:val="0"/>
        <w:adjustRightInd w:val="0"/>
        <w:spacing w:line="360" w:lineRule="auto"/>
        <w:rPr>
          <w:color w:val="000000"/>
          <w:sz w:val="24"/>
        </w:rPr>
      </w:pPr>
      <w:r>
        <w:rPr>
          <w:color w:val="444444"/>
          <w:sz w:val="24"/>
          <w:shd w:val="clear" w:color="auto" w:fill="FFFFFF"/>
        </w:rPr>
        <w:drawing>
          <wp:inline distT="0" distB="0" distL="0" distR="0">
            <wp:extent cx="5204460" cy="2245360"/>
            <wp:effectExtent l="0" t="0" r="7620" b="10160"/>
            <wp:docPr id="24" name="图片 2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descr="IMG_258"/>
                    <pic:cNvPicPr>
                      <a:picLocks noChangeAspect="1" noChangeArrowheads="1"/>
                    </pic:cNvPicPr>
                  </pic:nvPicPr>
                  <pic:blipFill>
                    <a:blip r:embed="rId41" cstate="print"/>
                    <a:srcRect t="8424" r="941"/>
                    <a:stretch>
                      <a:fillRect/>
                    </a:stretch>
                  </pic:blipFill>
                  <pic:spPr>
                    <a:xfrm>
                      <a:off x="0" y="0"/>
                      <a:ext cx="5204460" cy="224536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Lines="100" w:afterLines="50" w:line="360" w:lineRule="auto"/>
        <w:outlineLvl w:val="0"/>
        <w:rPr>
          <w:sz w:val="24"/>
        </w:rPr>
      </w:pPr>
      <w:bookmarkStart w:id="114" w:name="_Toc434"/>
      <w:bookmarkStart w:id="115" w:name="_Toc20916"/>
      <w:bookmarkStart w:id="116" w:name="_Toc19840"/>
      <w:r>
        <w:rPr>
          <w:b/>
          <w:bCs/>
          <w:color w:val="000000"/>
          <w:sz w:val="24"/>
        </w:rPr>
        <w:t>7.2.2.2水环境风险防控措施及突发水环境事件发生情况</w:t>
      </w:r>
      <w:bookmarkEnd w:id="114"/>
      <w:bookmarkEnd w:id="115"/>
      <w:bookmarkEnd w:id="116"/>
    </w:p>
    <w:p>
      <w:pPr>
        <w:autoSpaceDE w:val="0"/>
        <w:autoSpaceDN w:val="0"/>
        <w:adjustRightInd w:val="0"/>
        <w:spacing w:line="360" w:lineRule="auto"/>
        <w:ind w:firstLine="484" w:firstLineChars="200"/>
        <w:rPr>
          <w:b/>
          <w:bCs/>
          <w:color w:val="FF0000"/>
          <w:sz w:val="24"/>
          <w:shd w:val="clear" w:color="auto" w:fill="FFFFFF"/>
        </w:rPr>
      </w:pPr>
      <w:r>
        <w:rPr>
          <w:color w:val="000000"/>
          <w:spacing w:val="1"/>
          <w:kern w:val="0"/>
          <w:sz w:val="24"/>
        </w:rPr>
        <w:t>企业水环境风险防控措施及突发水环境事件发生情况评估指标见表7-9。对各项评估指标分别评分、计算总和，各项指标分值合计最高为</w:t>
      </w:r>
      <w:r>
        <w:rPr>
          <w:b/>
          <w:bCs/>
          <w:color w:val="000000"/>
          <w:spacing w:val="1"/>
          <w:kern w:val="0"/>
          <w:sz w:val="24"/>
        </w:rPr>
        <w:t>70分</w:t>
      </w:r>
      <w:r>
        <w:rPr>
          <w:color w:val="000000"/>
          <w:spacing w:val="1"/>
          <w:kern w:val="0"/>
          <w:sz w:val="24"/>
        </w:rPr>
        <w:t>。</w:t>
      </w:r>
    </w:p>
    <w:p>
      <w:pPr>
        <w:pStyle w:val="2"/>
        <w:ind w:firstLine="482"/>
        <w:rPr>
          <w:b/>
          <w:bCs/>
          <w:szCs w:val="21"/>
          <w:shd w:val="clear" w:color="auto" w:fill="FFFFFF"/>
        </w:rPr>
      </w:pPr>
      <w:r>
        <w:rPr>
          <w:b/>
          <w:bCs/>
          <w:szCs w:val="21"/>
          <w:shd w:val="clear" w:color="auto" w:fill="FFFFFF"/>
        </w:rPr>
        <w:t>表7-9 企业水环境风险防控措施及突发水环境事件发生情况评估</w:t>
      </w:r>
    </w:p>
    <w:tbl>
      <w:tblPr>
        <w:tblStyle w:val="1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2"/>
        <w:gridCol w:w="6505"/>
        <w:gridCol w:w="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Align w:val="center"/>
          </w:tcPr>
          <w:p>
            <w:pPr>
              <w:pStyle w:val="2"/>
              <w:ind w:left="0" w:leftChars="0" w:firstLine="0" w:firstLineChars="0"/>
              <w:jc w:val="center"/>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评估指标</w:t>
            </w:r>
          </w:p>
        </w:tc>
        <w:tc>
          <w:tcPr>
            <w:tcW w:w="6505" w:type="dxa"/>
            <w:vAlign w:val="center"/>
          </w:tcPr>
          <w:p>
            <w:pPr>
              <w:pStyle w:val="2"/>
              <w:jc w:val="center"/>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评估依据</w:t>
            </w:r>
          </w:p>
        </w:tc>
        <w:tc>
          <w:tcPr>
            <w:tcW w:w="785" w:type="dxa"/>
            <w:vAlign w:val="center"/>
          </w:tcPr>
          <w:p>
            <w:pPr>
              <w:pStyle w:val="2"/>
              <w:ind w:left="0" w:leftChars="0" w:firstLine="0" w:firstLineChars="0"/>
              <w:jc w:val="center"/>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left="0" w:leftChars="0" w:firstLine="0" w:firstLineChars="0"/>
              <w:jc w:val="center"/>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截流措施</w:t>
            </w: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1</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环境风险单元设防渗透、防腐蚀、防淋溶、防流失措施；且</w:t>
            </w:r>
          </w:p>
          <w:p>
            <w:pPr>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2</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装置围堰与罐区防火堤（围堰）外设排水切换阀，正常情况下通向雨水系统的阀门关闭，通向事故存液池、应急事故水池、清净废水排放缓冲池或污水处理系统的阀门打开；且</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color w:val="000000"/>
                <w:spacing w:val="1"/>
                <w:sz w:val="21"/>
                <w:szCs w:val="21"/>
                <w:vertAlign w:val="baseline"/>
                <w:lang w:eastAsia="zh-CN"/>
              </w:rPr>
              <w:t>（</w:t>
            </w:r>
            <w:r>
              <w:rPr>
                <w:rFonts w:hint="default" w:ascii="Times New Roman" w:hAnsi="Times New Roman" w:cs="Times New Roman" w:eastAsiaTheme="minorEastAsia"/>
                <w:color w:val="000000"/>
                <w:spacing w:val="1"/>
                <w:sz w:val="21"/>
                <w:szCs w:val="21"/>
                <w:vertAlign w:val="baseline"/>
                <w:lang w:val="en-US" w:eastAsia="zh-CN"/>
              </w:rPr>
              <w:t>3</w:t>
            </w:r>
            <w:r>
              <w:rPr>
                <w:rFonts w:hint="default" w:ascii="Times New Roman" w:hAnsi="Times New Roman" w:cs="Times New Roman" w:eastAsiaTheme="minorEastAsia"/>
                <w:color w:val="000000"/>
                <w:spacing w:val="1"/>
                <w:sz w:val="21"/>
                <w:szCs w:val="21"/>
                <w:vertAlign w:val="baseline"/>
                <w:lang w:eastAsia="zh-CN"/>
              </w:rPr>
              <w:t>）</w:t>
            </w:r>
            <w:r>
              <w:rPr>
                <w:rFonts w:hint="default" w:ascii="Times New Roman" w:hAnsi="Times New Roman" w:cs="Times New Roman" w:eastAsiaTheme="minorEastAsia"/>
                <w:color w:val="000000"/>
                <w:spacing w:val="1"/>
                <w:sz w:val="21"/>
                <w:szCs w:val="21"/>
                <w:vertAlign w:val="baseline"/>
                <w:lang w:val="en-US" w:eastAsia="zh-CN"/>
              </w:rPr>
              <w:t>签署措施日常管理及维护良好，有专人负责阀门转换或设置自动切换设施，保证初期雨水、泄漏物和受污染的消防水排入污水系统</w:t>
            </w:r>
          </w:p>
        </w:tc>
        <w:tc>
          <w:tcPr>
            <w:tcW w:w="785" w:type="dxa"/>
            <w:vAlign w:val="center"/>
          </w:tcPr>
          <w:p>
            <w:pPr>
              <w:pStyle w:val="2"/>
              <w:ind w:left="0" w:leftChars="0" w:firstLine="0" w:firstLineChars="0"/>
              <w:jc w:val="center"/>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jc w:val="center"/>
              <w:rPr>
                <w:rFonts w:hint="default" w:ascii="Times New Roman" w:hAnsi="Times New Roman" w:cs="Times New Roman" w:eastAsiaTheme="minorEastAsia"/>
                <w:color w:val="000000"/>
                <w:spacing w:val="1"/>
                <w:sz w:val="21"/>
                <w:szCs w:val="21"/>
                <w:vertAlign w:val="baseline"/>
              </w:rPr>
            </w:pP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在任意一个环境风险单元（包括可能发生液体泄漏或产生液体泄漏物的危险废物贮存场所）的截留措施不符合上述任意一条要求的</w:t>
            </w:r>
          </w:p>
        </w:tc>
        <w:tc>
          <w:tcPr>
            <w:tcW w:w="785" w:type="dxa"/>
            <w:vAlign w:val="center"/>
          </w:tcPr>
          <w:p>
            <w:pPr>
              <w:pStyle w:val="2"/>
              <w:ind w:left="0" w:leftChars="0" w:firstLine="0" w:firstLineChars="0"/>
              <w:jc w:val="center"/>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left="0" w:leftChars="0" w:firstLine="0" w:firstLineChars="0"/>
              <w:jc w:val="center"/>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事故废水收集措施</w:t>
            </w: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1</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按相关设计规范设置应急事故水池、事故存液池或清净废水排放缓冲池等事故排水收集设施，并根据相关设计规范、下游环境风险受体敏感程度和易发生极端天气情况，设计事故排水收集设施的容量；且</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2</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确保事故排水收集设施在事故状态下能顺利收集泄漏物和消防水，日常保持足够的事故排水缓冲容量；且</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3</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通过协议单位或自建管线，能将所收集废水送至厂区内污水处理设施处理</w:t>
            </w:r>
          </w:p>
        </w:tc>
        <w:tc>
          <w:tcPr>
            <w:tcW w:w="785" w:type="dxa"/>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jc w:val="center"/>
              <w:rPr>
                <w:rFonts w:hint="default" w:ascii="Times New Roman" w:hAnsi="Times New Roman" w:cs="Times New Roman" w:eastAsiaTheme="minorEastAsia"/>
                <w:color w:val="000000"/>
                <w:spacing w:val="1"/>
                <w:sz w:val="21"/>
                <w:szCs w:val="21"/>
                <w:vertAlign w:val="baseline"/>
              </w:rPr>
            </w:pP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在任意一个环境风险单元（包括可能发生液体泄漏或产生液体泄漏的危险废物贮存场所）的事故排水收集措施不符合上述任意一条要求的</w:t>
            </w:r>
          </w:p>
        </w:tc>
        <w:tc>
          <w:tcPr>
            <w:tcW w:w="785" w:type="dxa"/>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jc w:val="center"/>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清净废水系统风险防控措施</w:t>
            </w: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（1）不涉及清净废水；或</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（2）厂区内清净废水均可排入废水处理系统；或清污分流，且清净废水系统具有下述所有措施：</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sym w:font="Wingdings" w:char="F081"/>
            </w:r>
            <w:r>
              <w:rPr>
                <w:rFonts w:hint="default" w:ascii="Times New Roman" w:hAnsi="Times New Roman" w:cs="Times New Roman" w:eastAsiaTheme="minorEastAsia"/>
                <w:sz w:val="21"/>
                <w:szCs w:val="21"/>
                <w:lang w:val="en-US" w:eastAsia="zh-CN"/>
              </w:rPr>
              <w:t>具有收集受污染的清净废水的缓冲池（或收集池），池内日常保持足够的事故排水缓冲容量；池内没有提升设施或通过自留，能将所收集物送至厂区内污水处理设施处理；且</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sym w:font="Wingdings" w:char="F082"/>
            </w:r>
            <w:r>
              <w:rPr>
                <w:rFonts w:hint="default" w:ascii="Times New Roman" w:hAnsi="Times New Roman" w:cs="Times New Roman" w:eastAsiaTheme="minorEastAsia"/>
                <w:sz w:val="21"/>
                <w:szCs w:val="21"/>
                <w:lang w:val="en-US" w:eastAsia="zh-CN"/>
              </w:rPr>
              <w:t>具有清净废水系统的总排扣监视及关闭设施，有专人负责在紧急情况下关闭清净废水总排口，放置受污染的清净废水和泄漏物进入外环境</w:t>
            </w:r>
          </w:p>
        </w:tc>
        <w:tc>
          <w:tcPr>
            <w:tcW w:w="785" w:type="dxa"/>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jc w:val="center"/>
              <w:rPr>
                <w:rFonts w:hint="default" w:ascii="Times New Roman" w:hAnsi="Times New Roman" w:cs="Times New Roman" w:eastAsiaTheme="minorEastAsia"/>
                <w:color w:val="000000"/>
                <w:spacing w:val="1"/>
                <w:sz w:val="21"/>
                <w:szCs w:val="21"/>
                <w:vertAlign w:val="baseline"/>
              </w:rPr>
            </w:pP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涉及清净废水，有任意一个环境风险单元的清净废水系统风险防控措施不符合上述（2）要求的</w:t>
            </w:r>
          </w:p>
        </w:tc>
        <w:tc>
          <w:tcPr>
            <w:tcW w:w="785" w:type="dxa"/>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jc w:val="center"/>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雨水排水喜用风险防控措施</w:t>
            </w: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厂区内雨水均进入废水处理系统；或雨污分流，且雨水排水系统具有下述所有措施：</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sym w:font="Wingdings" w:char="F081"/>
            </w:r>
            <w:r>
              <w:rPr>
                <w:rFonts w:hint="default" w:ascii="Times New Roman" w:hAnsi="Times New Roman" w:cs="Times New Roman" w:eastAsiaTheme="minorEastAsia"/>
                <w:sz w:val="21"/>
                <w:szCs w:val="21"/>
                <w:lang w:val="en-US" w:eastAsia="zh-CN"/>
              </w:rPr>
              <w:t>具有收集初期雨水的收集池或雨水监控池；池出水管上设置切断阀，正常情况下阀门关闭，放置受污染的雨水外排；池内设有提升设施或通过自流能将所收集物送至厂区内污水处理设施处理；</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sym w:font="Wingdings" w:char="F082"/>
            </w:r>
            <w:r>
              <w:rPr>
                <w:rFonts w:hint="default" w:ascii="Times New Roman" w:hAnsi="Times New Roman" w:cs="Times New Roman" w:eastAsiaTheme="minorEastAsia"/>
                <w:sz w:val="21"/>
                <w:szCs w:val="21"/>
                <w:lang w:val="en-US" w:eastAsia="zh-CN"/>
              </w:rPr>
              <w:t>具有雨水系统总排口（含泄洪渠）监视及关闭设施，在紧急情况下有专人负责关闭雨水系统总排口（含与清净废水共用一套排水系统情况），放置雨水、消防水和泄漏物进入外环境</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（2）如果有排洪沟，排洪沟不得通过生产区和罐区，或具有防止泄漏物和受污染的消防水等流入区域排洪沟的措施。</w:t>
            </w:r>
          </w:p>
        </w:tc>
        <w:tc>
          <w:tcPr>
            <w:tcW w:w="785" w:type="dxa"/>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jc w:val="center"/>
              <w:rPr>
                <w:rFonts w:hint="default" w:ascii="Times New Roman" w:hAnsi="Times New Roman" w:cs="Times New Roman" w:eastAsiaTheme="minorEastAsia"/>
                <w:color w:val="000000"/>
                <w:spacing w:val="1"/>
                <w:sz w:val="21"/>
                <w:szCs w:val="21"/>
                <w:vertAlign w:val="baseline"/>
                <w:lang w:val="en-US" w:eastAsia="zh-CN"/>
              </w:rPr>
            </w:pP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不符合上述上述要求的</w:t>
            </w:r>
          </w:p>
        </w:tc>
        <w:tc>
          <w:tcPr>
            <w:tcW w:w="785" w:type="dxa"/>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left="0" w:leftChars="0" w:firstLine="0" w:firstLineChars="0"/>
              <w:jc w:val="center"/>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生产废水处理系统风险防控措施</w:t>
            </w: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（1）无生产废水产生或外排；或</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（2）有废水外排时：</w:t>
            </w:r>
          </w:p>
          <w:p>
            <w:pPr>
              <w:pStyle w:val="2"/>
              <w:ind w:left="0" w:leftChars="0" w:firstLine="420" w:firstLineChars="20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sym w:font="Wingdings" w:char="F081"/>
            </w:r>
            <w:r>
              <w:rPr>
                <w:rFonts w:hint="default" w:ascii="Times New Roman" w:hAnsi="Times New Roman" w:cs="Times New Roman" w:eastAsiaTheme="minorEastAsia"/>
                <w:sz w:val="21"/>
                <w:szCs w:val="21"/>
                <w:lang w:val="en-US" w:eastAsia="zh-CN"/>
              </w:rPr>
              <w:t>受污染的循环冷却水、雨水、消防水等排入生产废水系统或独立处理系统；</w:t>
            </w:r>
          </w:p>
          <w:p>
            <w:pPr>
              <w:pStyle w:val="2"/>
              <w:ind w:left="0" w:leftChars="0" w:firstLine="420" w:firstLineChars="20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sym w:font="Wingdings" w:char="F082"/>
            </w:r>
            <w:r>
              <w:rPr>
                <w:rFonts w:hint="default" w:ascii="Times New Roman" w:hAnsi="Times New Roman" w:cs="Times New Roman" w:eastAsiaTheme="minorEastAsia"/>
                <w:sz w:val="21"/>
                <w:szCs w:val="21"/>
                <w:lang w:val="en-US" w:eastAsia="zh-CN"/>
              </w:rPr>
              <w:t>生产废水排放前设监控池，能够降不合格废水送废水处理设施处理；</w:t>
            </w:r>
          </w:p>
          <w:p>
            <w:pPr>
              <w:pStyle w:val="2"/>
              <w:ind w:left="0" w:leftChars="0" w:firstLine="420" w:firstLineChars="20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sym w:font="Wingdings" w:char="F083"/>
            </w:r>
            <w:r>
              <w:rPr>
                <w:rFonts w:hint="default" w:ascii="Times New Roman" w:hAnsi="Times New Roman" w:cs="Times New Roman" w:eastAsiaTheme="minorEastAsia"/>
                <w:sz w:val="21"/>
                <w:szCs w:val="21"/>
                <w:lang w:val="en-US" w:eastAsia="zh-CN"/>
              </w:rPr>
              <w:t>如企业为污染的清净废水或雨水进入废水处理系统处理，则飞鼠处理系统应设置事故水缓冲设施；</w:t>
            </w:r>
          </w:p>
          <w:p>
            <w:pPr>
              <w:pStyle w:val="2"/>
              <w:ind w:left="0" w:leftChars="0" w:firstLine="420" w:firstLineChars="20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④具有生产废水总排口监视及关闭设施，有专人负责启闭，确保泄漏物、受污染的消防水、不合格废水不排出厂外</w:t>
            </w:r>
          </w:p>
        </w:tc>
        <w:tc>
          <w:tcPr>
            <w:tcW w:w="785" w:type="dxa"/>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jc w:val="center"/>
              <w:rPr>
                <w:rFonts w:hint="default" w:ascii="Times New Roman" w:hAnsi="Times New Roman" w:cs="Times New Roman" w:eastAsiaTheme="minorEastAsia"/>
                <w:color w:val="000000"/>
                <w:spacing w:val="1"/>
                <w:sz w:val="21"/>
                <w:szCs w:val="21"/>
                <w:vertAlign w:val="baseline"/>
                <w:lang w:val="en-US" w:eastAsia="zh-CN"/>
              </w:rPr>
            </w:pP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涉及废水外排，且不符合上述（2）中任意一条要求的</w:t>
            </w:r>
          </w:p>
        </w:tc>
        <w:tc>
          <w:tcPr>
            <w:tcW w:w="785" w:type="dxa"/>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left="0" w:leftChars="0" w:firstLine="0" w:firstLineChars="0"/>
              <w:jc w:val="center"/>
              <w:rPr>
                <w:rFonts w:hint="default" w:ascii="Times New Roman" w:hAnsi="Times New Roman" w:cs="Times New Roman" w:eastAsiaTheme="minorEastAsia"/>
                <w:color w:val="000000"/>
                <w:spacing w:val="1"/>
                <w:sz w:val="21"/>
                <w:szCs w:val="21"/>
                <w:vertAlign w:val="baseline"/>
                <w:lang w:val="en-US" w:eastAsia="zh-CN"/>
              </w:rPr>
            </w:pPr>
            <w:r>
              <w:rPr>
                <w:rFonts w:hint="default" w:ascii="Times New Roman" w:hAnsi="Times New Roman" w:cs="Times New Roman" w:eastAsiaTheme="minorEastAsia"/>
                <w:color w:val="000000"/>
                <w:spacing w:val="1"/>
                <w:sz w:val="21"/>
                <w:szCs w:val="21"/>
                <w:vertAlign w:val="baseline"/>
                <w:lang w:val="en-US" w:eastAsia="zh-CN"/>
              </w:rPr>
              <w:t>废水排放去向</w:t>
            </w: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无生产废水产生或外排</w:t>
            </w:r>
          </w:p>
        </w:tc>
        <w:tc>
          <w:tcPr>
            <w:tcW w:w="785" w:type="dxa"/>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eastAsia" w:cs="Times New Roman" w:eastAsiaTheme="minorEastAsia"/>
                <w:color w:val="000000"/>
                <w:spacing w:val="1"/>
                <w:sz w:val="21"/>
                <w:szCs w:val="21"/>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jc w:val="center"/>
              <w:rPr>
                <w:rFonts w:hint="default" w:ascii="Times New Roman" w:hAnsi="Times New Roman" w:cs="Times New Roman" w:eastAsiaTheme="minorEastAsia"/>
                <w:color w:val="000000"/>
                <w:spacing w:val="1"/>
                <w:sz w:val="21"/>
                <w:szCs w:val="21"/>
                <w:vertAlign w:val="baseline"/>
                <w:lang w:val="en-US" w:eastAsia="zh-CN"/>
              </w:rPr>
            </w:pPr>
          </w:p>
        </w:tc>
        <w:tc>
          <w:tcPr>
            <w:tcW w:w="6505" w:type="dxa"/>
            <w:vAlign w:val="center"/>
          </w:tcPr>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（1）已发获取污水排入排水管网许可，进入城镇污水处理厂；或</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（2）进入工业废水集中处理厂；或</w:t>
            </w:r>
          </w:p>
          <w:p>
            <w:pPr>
              <w:pStyle w:val="2"/>
              <w:ind w:left="0" w:leftChars="0" w:firstLine="0" w:firstLineChars="0"/>
              <w:jc w:val="left"/>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（3）进入其他单位</w:t>
            </w:r>
          </w:p>
        </w:tc>
        <w:tc>
          <w:tcPr>
            <w:tcW w:w="785" w:type="dxa"/>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eastAsia" w:cs="Times New Roman" w:eastAsiaTheme="minorEastAsia"/>
                <w:color w:val="000000"/>
                <w:spacing w:val="1"/>
                <w:sz w:val="21"/>
                <w:szCs w:val="21"/>
                <w:vertAlign w:val="baseline"/>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jc w:val="center"/>
              <w:rPr>
                <w:rFonts w:hint="default" w:ascii="Times New Roman" w:hAnsi="Times New Roman" w:cs="Times New Roman" w:eastAsiaTheme="minorEastAsia"/>
                <w:color w:val="000000"/>
                <w:spacing w:val="1"/>
                <w:sz w:val="21"/>
                <w:szCs w:val="21"/>
                <w:vertAlign w:val="baseline"/>
                <w:lang w:val="en-US" w:eastAsia="zh-CN"/>
              </w:rPr>
            </w:pPr>
          </w:p>
        </w:tc>
        <w:tc>
          <w:tcPr>
            <w:tcW w:w="6505" w:type="dxa"/>
            <w:vAlign w:val="center"/>
          </w:tcPr>
          <w:p>
            <w:pPr>
              <w:pStyle w:val="2"/>
              <w:ind w:left="0" w:leftChars="0" w:firstLine="0" w:firstLineChars="0"/>
              <w:jc w:val="left"/>
              <w:rPr>
                <w:rFonts w:hint="default"/>
                <w:lang w:val="en-US" w:eastAsia="zh-CN"/>
              </w:rPr>
            </w:pPr>
            <w:r>
              <w:rPr>
                <w:rFonts w:hint="default"/>
                <w:lang w:val="en-US" w:eastAsia="zh-CN"/>
              </w:rPr>
              <w:t>（1）直接进入海域或进入江、河</w:t>
            </w:r>
            <w:r>
              <w:rPr>
                <w:rFonts w:hint="eastAsia"/>
                <w:lang w:val="en-US" w:eastAsia="zh-CN"/>
              </w:rPr>
              <w:t>、湖、库等水环境；或</w:t>
            </w:r>
          </w:p>
          <w:p>
            <w:pPr>
              <w:pStyle w:val="2"/>
              <w:ind w:left="0" w:leftChars="0" w:firstLine="0" w:firstLineChars="0"/>
              <w:jc w:val="left"/>
              <w:rPr>
                <w:rFonts w:hint="default"/>
                <w:lang w:val="en-US" w:eastAsia="zh-CN"/>
              </w:rPr>
            </w:pPr>
            <w:r>
              <w:rPr>
                <w:rFonts w:hint="default"/>
                <w:lang w:val="en-US" w:eastAsia="zh-CN"/>
              </w:rPr>
              <w:t>（2）</w:t>
            </w:r>
            <w:r>
              <w:rPr>
                <w:rFonts w:hint="eastAsia"/>
                <w:lang w:val="en-US" w:eastAsia="zh-CN"/>
              </w:rPr>
              <w:t>进入城市下水道再入</w:t>
            </w:r>
            <w:r>
              <w:rPr>
                <w:rFonts w:hint="default"/>
                <w:lang w:val="en-US" w:eastAsia="zh-CN"/>
              </w:rPr>
              <w:t>江、河</w:t>
            </w:r>
            <w:r>
              <w:rPr>
                <w:rFonts w:hint="eastAsia"/>
                <w:lang w:val="en-US" w:eastAsia="zh-CN"/>
              </w:rPr>
              <w:t>、湖、库或在进入海域；或</w:t>
            </w:r>
          </w:p>
          <w:p>
            <w:pPr>
              <w:pStyle w:val="2"/>
              <w:ind w:left="0" w:leftChars="0" w:firstLine="0" w:firstLineChars="0"/>
              <w:jc w:val="left"/>
              <w:rPr>
                <w:rFonts w:hint="eastAsia"/>
                <w:lang w:val="en-US" w:eastAsia="zh-CN"/>
              </w:rPr>
            </w:pPr>
            <w:r>
              <w:rPr>
                <w:rFonts w:hint="default"/>
                <w:lang w:val="en-US" w:eastAsia="zh-CN"/>
              </w:rPr>
              <w:t>（3）</w:t>
            </w:r>
            <w:r>
              <w:rPr>
                <w:rFonts w:hint="eastAsia"/>
                <w:lang w:val="en-US" w:eastAsia="zh-CN"/>
              </w:rPr>
              <w:t>未依法取得污水排入排水管网许可，进入城镇污水处理厂；或</w:t>
            </w:r>
          </w:p>
          <w:p>
            <w:pPr>
              <w:rPr>
                <w:rFonts w:hint="default"/>
                <w:lang w:val="en-US" w:eastAsia="zh-CN"/>
              </w:rPr>
            </w:pPr>
            <w:r>
              <w:rPr>
                <w:rFonts w:hint="eastAsia" w:cs="Times New Roman" w:eastAsiaTheme="minorEastAsia"/>
                <w:sz w:val="21"/>
                <w:szCs w:val="21"/>
                <w:lang w:val="en-US" w:eastAsia="zh-CN"/>
              </w:rPr>
              <w:t>（4）直接进入污灌农田或蒸发池</w:t>
            </w:r>
          </w:p>
        </w:tc>
        <w:tc>
          <w:tcPr>
            <w:tcW w:w="785" w:type="dxa"/>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eastAsia" w:cs="Times New Roman" w:eastAsiaTheme="minorEastAsia"/>
                <w:color w:val="000000"/>
                <w:spacing w:val="1"/>
                <w:sz w:val="21"/>
                <w:szCs w:val="21"/>
                <w:vertAlign w:val="baseline"/>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left="0" w:leftChars="0" w:firstLine="0" w:firstLineChars="0"/>
              <w:jc w:val="both"/>
              <w:rPr>
                <w:rFonts w:hint="default" w:ascii="Times New Roman" w:hAnsi="Times New Roman" w:cs="Times New Roman" w:eastAsiaTheme="minorEastAsia"/>
                <w:color w:val="000000"/>
                <w:spacing w:val="1"/>
                <w:sz w:val="21"/>
                <w:szCs w:val="21"/>
                <w:vertAlign w:val="baseline"/>
                <w:lang w:val="en-US" w:eastAsia="zh-CN"/>
              </w:rPr>
            </w:pPr>
            <w:r>
              <w:rPr>
                <w:rFonts w:hint="eastAsia" w:cs="Times New Roman" w:eastAsiaTheme="minorEastAsia"/>
                <w:color w:val="000000"/>
                <w:spacing w:val="1"/>
                <w:sz w:val="21"/>
                <w:szCs w:val="21"/>
                <w:vertAlign w:val="baseline"/>
                <w:lang w:val="en-US" w:eastAsia="zh-CN"/>
              </w:rPr>
              <w:t>厂内危险废物环境管理</w:t>
            </w:r>
          </w:p>
        </w:tc>
        <w:tc>
          <w:tcPr>
            <w:tcW w:w="6505" w:type="dxa"/>
            <w:vAlign w:val="center"/>
          </w:tcPr>
          <w:p>
            <w:pPr>
              <w:rPr>
                <w:rFonts w:hint="default"/>
                <w:lang w:val="en-US" w:eastAsia="zh-CN"/>
              </w:rPr>
            </w:pPr>
            <w:r>
              <w:rPr>
                <w:rFonts w:hint="eastAsia"/>
                <w:lang w:val="en-US" w:eastAsia="zh-CN"/>
              </w:rPr>
              <w:t>（1）不涉及危险废物的；或</w:t>
            </w:r>
          </w:p>
          <w:p>
            <w:pPr>
              <w:pStyle w:val="2"/>
              <w:ind w:left="0" w:leftChars="0" w:firstLine="0" w:firstLineChars="0"/>
              <w:rPr>
                <w:rFonts w:hint="default"/>
                <w:lang w:val="en-US" w:eastAsia="zh-CN"/>
              </w:rPr>
            </w:pPr>
            <w:r>
              <w:rPr>
                <w:rFonts w:hint="eastAsia" w:cs="Times New Roman" w:eastAsiaTheme="minorEastAsia"/>
                <w:sz w:val="21"/>
                <w:szCs w:val="21"/>
                <w:lang w:val="en-US" w:eastAsia="zh-CN"/>
              </w:rPr>
              <w:t>（2）针对危险废物区分贮存、运输、利用、处置具有完善的专业设施和风险防控措施</w:t>
            </w:r>
          </w:p>
        </w:tc>
        <w:tc>
          <w:tcPr>
            <w:tcW w:w="785" w:type="dxa"/>
            <w:vAlign w:val="center"/>
          </w:tcPr>
          <w:p>
            <w:pPr>
              <w:pStyle w:val="2"/>
              <w:ind w:left="0" w:leftChars="0" w:firstLine="0" w:firstLineChars="0"/>
              <w:jc w:val="both"/>
              <w:rPr>
                <w:rFonts w:hint="default" w:cs="Times New Roman" w:eastAsiaTheme="minorEastAsia"/>
                <w:color w:val="000000"/>
                <w:spacing w:val="1"/>
                <w:sz w:val="21"/>
                <w:szCs w:val="21"/>
                <w:vertAlign w:val="baseline"/>
                <w:lang w:val="en-US" w:eastAsia="zh-CN"/>
              </w:rPr>
            </w:pPr>
            <w:r>
              <w:rPr>
                <w:rFonts w:hint="eastAsia" w:cs="Times New Roman" w:eastAsiaTheme="minorEastAsia"/>
                <w:color w:val="000000"/>
                <w:spacing w:val="1"/>
                <w:sz w:val="21"/>
                <w:szCs w:val="21"/>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jc w:val="center"/>
              <w:rPr>
                <w:rFonts w:hint="default" w:ascii="Times New Roman" w:hAnsi="Times New Roman" w:cs="Times New Roman" w:eastAsiaTheme="minorEastAsia"/>
                <w:color w:val="000000"/>
                <w:spacing w:val="1"/>
                <w:sz w:val="21"/>
                <w:szCs w:val="21"/>
                <w:vertAlign w:val="baseline"/>
                <w:lang w:val="en-US" w:eastAsia="zh-CN"/>
              </w:rPr>
            </w:pPr>
          </w:p>
        </w:tc>
        <w:tc>
          <w:tcPr>
            <w:tcW w:w="6505" w:type="dxa"/>
            <w:vAlign w:val="center"/>
          </w:tcPr>
          <w:p>
            <w:pPr>
              <w:rPr>
                <w:rFonts w:hint="default" w:cs="Times New Roman" w:eastAsiaTheme="minorEastAsia"/>
                <w:sz w:val="21"/>
                <w:szCs w:val="21"/>
                <w:lang w:val="en-US" w:eastAsia="zh-CN"/>
              </w:rPr>
            </w:pPr>
            <w:r>
              <w:rPr>
                <w:rFonts w:hint="eastAsia" w:cs="Times New Roman" w:eastAsiaTheme="minorEastAsia"/>
                <w:sz w:val="21"/>
                <w:szCs w:val="21"/>
                <w:lang w:val="en-US" w:eastAsia="zh-CN"/>
              </w:rPr>
              <w:t>不具备完善的危险废物贮存、运输、利用、处置设施和风险防控措施</w:t>
            </w:r>
          </w:p>
        </w:tc>
        <w:tc>
          <w:tcPr>
            <w:tcW w:w="785" w:type="dxa"/>
            <w:vAlign w:val="center"/>
          </w:tcPr>
          <w:p>
            <w:pPr>
              <w:pStyle w:val="2"/>
              <w:ind w:left="0" w:leftChars="0" w:firstLine="0" w:firstLineChars="0"/>
              <w:jc w:val="center"/>
              <w:rPr>
                <w:rFonts w:hint="default" w:cs="Times New Roman" w:eastAsiaTheme="minorEastAsia"/>
                <w:color w:val="000000"/>
                <w:spacing w:val="1"/>
                <w:sz w:val="21"/>
                <w:szCs w:val="21"/>
                <w:vertAlign w:val="baseline"/>
                <w:lang w:val="en-US" w:eastAsia="zh-CN"/>
              </w:rPr>
            </w:pPr>
            <w:r>
              <w:rPr>
                <w:rFonts w:hint="eastAsia" w:cs="Times New Roman" w:eastAsiaTheme="minorEastAsia"/>
                <w:color w:val="000000"/>
                <w:spacing w:val="1"/>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left="0" w:leftChars="0" w:firstLine="0" w:firstLineChars="0"/>
              <w:jc w:val="center"/>
              <w:rPr>
                <w:rFonts w:hint="default" w:ascii="Times New Roman" w:hAnsi="Times New Roman" w:cs="Times New Roman" w:eastAsiaTheme="minorEastAsia"/>
                <w:color w:val="000000"/>
                <w:spacing w:val="1"/>
                <w:sz w:val="21"/>
                <w:szCs w:val="21"/>
                <w:vertAlign w:val="baseline"/>
                <w:lang w:val="en-US" w:eastAsia="zh-CN"/>
              </w:rPr>
            </w:pPr>
            <w:r>
              <w:rPr>
                <w:rFonts w:hint="eastAsia" w:cs="Times New Roman" w:eastAsiaTheme="minorEastAsia"/>
                <w:color w:val="000000"/>
                <w:spacing w:val="1"/>
                <w:sz w:val="21"/>
                <w:szCs w:val="21"/>
                <w:vertAlign w:val="baseline"/>
                <w:lang w:val="en-US" w:eastAsia="zh-CN"/>
              </w:rPr>
              <w:t>近3年内突发水环境时间发生情况</w:t>
            </w:r>
          </w:p>
        </w:tc>
        <w:tc>
          <w:tcPr>
            <w:tcW w:w="6505" w:type="dxa"/>
            <w:vAlign w:val="center"/>
          </w:tcPr>
          <w:p>
            <w:pPr>
              <w:rPr>
                <w:rFonts w:hint="default" w:cs="Times New Roman" w:eastAsiaTheme="minorEastAsia"/>
                <w:sz w:val="21"/>
                <w:szCs w:val="21"/>
                <w:lang w:val="en-US" w:eastAsia="zh-CN"/>
              </w:rPr>
            </w:pPr>
            <w:r>
              <w:rPr>
                <w:rFonts w:hint="eastAsia" w:cs="Times New Roman" w:eastAsiaTheme="minorEastAsia"/>
                <w:sz w:val="21"/>
                <w:szCs w:val="21"/>
                <w:lang w:val="en-US" w:eastAsia="zh-CN"/>
              </w:rPr>
              <w:t>发生过特别重大及重大等级突发水环境事件的</w:t>
            </w:r>
          </w:p>
        </w:tc>
        <w:tc>
          <w:tcPr>
            <w:tcW w:w="785" w:type="dxa"/>
            <w:vAlign w:val="center"/>
          </w:tcPr>
          <w:p>
            <w:pPr>
              <w:pStyle w:val="2"/>
              <w:jc w:val="center"/>
              <w:rPr>
                <w:rFonts w:hint="default" w:cs="Times New Roman" w:eastAsiaTheme="minorEastAsia"/>
                <w:color w:val="000000"/>
                <w:spacing w:val="1"/>
                <w:sz w:val="21"/>
                <w:szCs w:val="21"/>
                <w:vertAlign w:val="baseline"/>
                <w:lang w:val="en-US" w:eastAsia="zh-CN"/>
              </w:rPr>
            </w:pPr>
            <w:r>
              <w:rPr>
                <w:rFonts w:hint="eastAsia" w:cs="Times New Roman" w:eastAsiaTheme="minorEastAsia"/>
                <w:color w:val="000000"/>
                <w:spacing w:val="1"/>
                <w:sz w:val="21"/>
                <w:szCs w:val="21"/>
                <w:vertAlign w:val="baselin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jc w:val="center"/>
              <w:rPr>
                <w:rFonts w:hint="default" w:ascii="Times New Roman" w:hAnsi="Times New Roman" w:cs="Times New Roman" w:eastAsiaTheme="minorEastAsia"/>
                <w:color w:val="000000"/>
                <w:spacing w:val="1"/>
                <w:sz w:val="21"/>
                <w:szCs w:val="21"/>
                <w:vertAlign w:val="baseline"/>
                <w:lang w:val="en-US" w:eastAsia="zh-CN"/>
              </w:rPr>
            </w:pPr>
          </w:p>
        </w:tc>
        <w:tc>
          <w:tcPr>
            <w:tcW w:w="6505" w:type="dxa"/>
            <w:vAlign w:val="center"/>
          </w:tcPr>
          <w:p>
            <w:pPr>
              <w:rPr>
                <w:rFonts w:hint="default" w:cs="Times New Roman" w:eastAsiaTheme="minorEastAsia"/>
                <w:sz w:val="21"/>
                <w:szCs w:val="21"/>
                <w:lang w:val="en-US" w:eastAsia="zh-CN"/>
              </w:rPr>
            </w:pPr>
            <w:r>
              <w:rPr>
                <w:rFonts w:hint="eastAsia" w:cs="Times New Roman" w:eastAsiaTheme="minorEastAsia"/>
                <w:sz w:val="21"/>
                <w:szCs w:val="21"/>
                <w:lang w:val="en-US" w:eastAsia="zh-CN"/>
              </w:rPr>
              <w:t>发生过较大等级突发水环境事件的</w:t>
            </w:r>
          </w:p>
        </w:tc>
        <w:tc>
          <w:tcPr>
            <w:tcW w:w="785" w:type="dxa"/>
            <w:vAlign w:val="center"/>
          </w:tcPr>
          <w:p>
            <w:pPr>
              <w:pStyle w:val="2"/>
              <w:jc w:val="center"/>
              <w:rPr>
                <w:rFonts w:hint="default" w:cs="Times New Roman" w:eastAsiaTheme="minorEastAsia"/>
                <w:color w:val="000000"/>
                <w:spacing w:val="1"/>
                <w:sz w:val="21"/>
                <w:szCs w:val="21"/>
                <w:vertAlign w:val="baseline"/>
                <w:lang w:val="en-US" w:eastAsia="zh-CN"/>
              </w:rPr>
            </w:pPr>
            <w:r>
              <w:rPr>
                <w:rFonts w:hint="eastAsia" w:cs="Times New Roman" w:eastAsiaTheme="minorEastAsia"/>
                <w:color w:val="000000"/>
                <w:spacing w:val="1"/>
                <w:sz w:val="21"/>
                <w:szCs w:val="21"/>
                <w:vertAlign w:val="baseline"/>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jc w:val="center"/>
              <w:rPr>
                <w:rFonts w:hint="default" w:ascii="Times New Roman" w:hAnsi="Times New Roman" w:cs="Times New Roman" w:eastAsiaTheme="minorEastAsia"/>
                <w:color w:val="000000"/>
                <w:spacing w:val="1"/>
                <w:sz w:val="21"/>
                <w:szCs w:val="21"/>
                <w:vertAlign w:val="baseline"/>
                <w:lang w:val="en-US" w:eastAsia="zh-CN"/>
              </w:rPr>
            </w:pPr>
          </w:p>
        </w:tc>
        <w:tc>
          <w:tcPr>
            <w:tcW w:w="6505" w:type="dxa"/>
            <w:vAlign w:val="center"/>
          </w:tcPr>
          <w:p>
            <w:pPr>
              <w:rPr>
                <w:rFonts w:hint="default" w:cs="Times New Roman" w:eastAsiaTheme="minorEastAsia"/>
                <w:sz w:val="21"/>
                <w:szCs w:val="21"/>
                <w:lang w:val="en-US" w:eastAsia="zh-CN"/>
              </w:rPr>
            </w:pPr>
            <w:r>
              <w:rPr>
                <w:rFonts w:hint="eastAsia" w:cs="Times New Roman" w:eastAsiaTheme="minorEastAsia"/>
                <w:sz w:val="21"/>
                <w:szCs w:val="21"/>
                <w:lang w:val="en-US" w:eastAsia="zh-CN"/>
              </w:rPr>
              <w:t>发生过一般等级突发水环境的</w:t>
            </w:r>
          </w:p>
        </w:tc>
        <w:tc>
          <w:tcPr>
            <w:tcW w:w="785" w:type="dxa"/>
            <w:vAlign w:val="center"/>
          </w:tcPr>
          <w:p>
            <w:pPr>
              <w:pStyle w:val="2"/>
              <w:jc w:val="center"/>
              <w:rPr>
                <w:rFonts w:hint="default" w:cs="Times New Roman" w:eastAsiaTheme="minorEastAsia"/>
                <w:color w:val="000000"/>
                <w:spacing w:val="1"/>
                <w:sz w:val="21"/>
                <w:szCs w:val="21"/>
                <w:vertAlign w:val="baseline"/>
                <w:lang w:val="en-US" w:eastAsia="zh-CN"/>
              </w:rPr>
            </w:pPr>
            <w:r>
              <w:rPr>
                <w:rFonts w:hint="eastAsia" w:cs="Times New Roman" w:eastAsiaTheme="minorEastAsia"/>
                <w:color w:val="000000"/>
                <w:spacing w:val="1"/>
                <w:sz w:val="21"/>
                <w:szCs w:val="21"/>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jc w:val="center"/>
              <w:rPr>
                <w:rFonts w:hint="default" w:ascii="Times New Roman" w:hAnsi="Times New Roman" w:cs="Times New Roman" w:eastAsiaTheme="minorEastAsia"/>
                <w:color w:val="000000"/>
                <w:spacing w:val="1"/>
                <w:sz w:val="21"/>
                <w:szCs w:val="21"/>
                <w:vertAlign w:val="baseline"/>
                <w:lang w:val="en-US" w:eastAsia="zh-CN"/>
              </w:rPr>
            </w:pPr>
          </w:p>
        </w:tc>
        <w:tc>
          <w:tcPr>
            <w:tcW w:w="6505" w:type="dxa"/>
            <w:vAlign w:val="center"/>
          </w:tcPr>
          <w:p>
            <w:pPr>
              <w:rPr>
                <w:rFonts w:hint="default" w:cs="Times New Roman" w:eastAsiaTheme="minorEastAsia"/>
                <w:sz w:val="21"/>
                <w:szCs w:val="21"/>
                <w:lang w:val="en-US" w:eastAsia="zh-CN"/>
              </w:rPr>
            </w:pPr>
            <w:r>
              <w:rPr>
                <w:rFonts w:hint="eastAsia" w:cs="Times New Roman" w:eastAsiaTheme="minorEastAsia"/>
                <w:sz w:val="21"/>
                <w:szCs w:val="21"/>
                <w:lang w:val="en-US" w:eastAsia="zh-CN"/>
              </w:rPr>
              <w:t>未发生突发水环境事件的</w:t>
            </w:r>
          </w:p>
        </w:tc>
        <w:tc>
          <w:tcPr>
            <w:tcW w:w="785" w:type="dxa"/>
            <w:vAlign w:val="center"/>
          </w:tcPr>
          <w:p>
            <w:pPr>
              <w:pStyle w:val="2"/>
              <w:jc w:val="center"/>
              <w:rPr>
                <w:rFonts w:hint="default" w:cs="Times New Roman" w:eastAsiaTheme="minorEastAsia"/>
                <w:color w:val="000000"/>
                <w:spacing w:val="1"/>
                <w:sz w:val="21"/>
                <w:szCs w:val="21"/>
                <w:vertAlign w:val="baseline"/>
                <w:lang w:val="en-US" w:eastAsia="zh-CN"/>
              </w:rPr>
            </w:pPr>
            <w:r>
              <w:rPr>
                <w:rFonts w:hint="eastAsia" w:cs="Times New Roman" w:eastAsiaTheme="minorEastAsia"/>
                <w:color w:val="000000"/>
                <w:spacing w:val="1"/>
                <w:sz w:val="21"/>
                <w:szCs w:val="21"/>
                <w:vertAlign w:val="baseline"/>
                <w:lang w:val="en-US" w:eastAsia="zh-CN"/>
              </w:rPr>
              <w:t>0</w:t>
            </w:r>
          </w:p>
        </w:tc>
      </w:tr>
    </w:tbl>
    <w:p>
      <w:pPr>
        <w:pStyle w:val="2"/>
        <w:ind w:left="0" w:leftChars="0" w:firstLine="0" w:firstLineChars="0"/>
        <w:rPr>
          <w:color w:val="444444"/>
          <w:shd w:val="clear" w:color="auto" w:fill="FFFFFF"/>
        </w:rPr>
      </w:pPr>
      <w:r>
        <w:rPr>
          <w:rFonts w:hint="eastAsia"/>
          <w:sz w:val="18"/>
          <w:szCs w:val="18"/>
          <w:lang w:val="en-US" w:eastAsia="zh-CN"/>
        </w:rPr>
        <w:t>注：本表中相关规范具体指GB 50483、GB 50160、GB 50351、GB 50747、SH3015</w:t>
      </w:r>
    </w:p>
    <w:p>
      <w:pPr>
        <w:autoSpaceDE w:val="0"/>
        <w:autoSpaceDN w:val="0"/>
        <w:adjustRightInd w:val="0"/>
        <w:spacing w:line="360" w:lineRule="auto"/>
        <w:rPr>
          <w:color w:val="000000"/>
          <w:sz w:val="24"/>
        </w:rPr>
      </w:pP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Lines="100" w:afterLines="50" w:line="360" w:lineRule="auto"/>
        <w:outlineLvl w:val="0"/>
        <w:rPr>
          <w:color w:val="3E3E3E"/>
          <w:sz w:val="24"/>
          <w:shd w:val="clear" w:color="auto" w:fill="FFFFFF"/>
        </w:rPr>
      </w:pPr>
      <w:bookmarkStart w:id="117" w:name="_Toc8067"/>
      <w:bookmarkStart w:id="118" w:name="_Toc10160"/>
      <w:bookmarkStart w:id="119" w:name="_Toc3968"/>
      <w:r>
        <w:rPr>
          <w:b/>
          <w:bCs/>
          <w:color w:val="000000"/>
          <w:sz w:val="24"/>
        </w:rPr>
        <w:t>7.2.2.3企业生产工艺过程与水环境风险控制水平</w:t>
      </w:r>
      <w:bookmarkEnd w:id="117"/>
      <w:bookmarkEnd w:id="118"/>
      <w:bookmarkEnd w:id="119"/>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将企业生产工艺过程、水环境风险防控措施及突发水环境事件发生情况各项指标评估分值累加，得出生产工艺过程与水环境风险控制水平值，按照表7-10划分为4个类型。</w:t>
      </w:r>
    </w:p>
    <w:p>
      <w:pPr>
        <w:pStyle w:val="2"/>
        <w:spacing w:line="240" w:lineRule="auto"/>
        <w:ind w:firstLine="426"/>
        <w:jc w:val="center"/>
        <w:rPr>
          <w:rFonts w:hint="default"/>
          <w:b/>
          <w:bCs/>
          <w:sz w:val="21"/>
          <w:szCs w:val="21"/>
        </w:rPr>
      </w:pPr>
      <w:r>
        <w:rPr>
          <w:rFonts w:hint="default"/>
          <w:b/>
          <w:bCs/>
          <w:color w:val="000000"/>
          <w:spacing w:val="1"/>
          <w:sz w:val="21"/>
          <w:szCs w:val="21"/>
        </w:rPr>
        <w:t>表7-10 企业生产工艺过程与环境风险控制水平类型划分</w:t>
      </w:r>
    </w:p>
    <w:p>
      <w:pPr>
        <w:autoSpaceDE w:val="0"/>
        <w:autoSpaceDN w:val="0"/>
        <w:adjustRightInd w:val="0"/>
        <w:spacing w:line="360" w:lineRule="auto"/>
        <w:rPr>
          <w:rFonts w:ascii="Times New Roman" w:hAnsi="Times New Roman"/>
          <w:color w:val="444444"/>
          <w:shd w:val="clear" w:color="auto" w:fill="FFFFFF"/>
        </w:rPr>
      </w:pPr>
      <w:r>
        <w:rPr>
          <w:color w:val="444444"/>
          <w:shd w:val="clear" w:color="auto" w:fill="FFFFFF"/>
        </w:rPr>
        <w:drawing>
          <wp:inline distT="0" distB="0" distL="0" distR="0">
            <wp:extent cx="5305425" cy="1238250"/>
            <wp:effectExtent l="0" t="0" r="13335" b="11430"/>
            <wp:docPr id="31" name="图片 32"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2" descr="IMG_260"/>
                    <pic:cNvPicPr>
                      <a:picLocks noChangeAspect="1" noChangeArrowheads="1"/>
                    </pic:cNvPicPr>
                  </pic:nvPicPr>
                  <pic:blipFill>
                    <a:blip r:embed="rId43" cstate="print"/>
                    <a:srcRect t="11890" r="162"/>
                    <a:stretch>
                      <a:fillRect/>
                    </a:stretch>
                  </pic:blipFill>
                  <pic:spPr>
                    <a:xfrm>
                      <a:off x="0" y="0"/>
                      <a:ext cx="5305425" cy="123825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line="360" w:lineRule="auto"/>
        <w:outlineLvl w:val="0"/>
        <w:rPr>
          <w:b/>
          <w:bCs/>
          <w:color w:val="000000"/>
          <w:sz w:val="24"/>
        </w:rPr>
      </w:pPr>
      <w:bookmarkStart w:id="120" w:name="_Toc8590"/>
      <w:bookmarkStart w:id="121" w:name="_Toc743"/>
      <w:bookmarkStart w:id="122" w:name="_Toc9974"/>
      <w:r>
        <w:rPr>
          <w:b/>
          <w:bCs/>
          <w:color w:val="000000"/>
          <w:sz w:val="24"/>
        </w:rPr>
        <w:t>7.2.3水环境风险受体敏感程度（E）评估</w:t>
      </w:r>
      <w:bookmarkEnd w:id="120"/>
      <w:bookmarkEnd w:id="121"/>
      <w:bookmarkEnd w:id="122"/>
    </w:p>
    <w:p>
      <w:pPr>
        <w:autoSpaceDE w:val="0"/>
        <w:autoSpaceDN w:val="0"/>
        <w:adjustRightInd w:val="0"/>
        <w:spacing w:line="360" w:lineRule="auto"/>
        <w:ind w:firstLine="480"/>
        <w:rPr>
          <w:color w:val="000000"/>
          <w:spacing w:val="1"/>
          <w:kern w:val="0"/>
          <w:sz w:val="24"/>
        </w:rPr>
      </w:pPr>
      <w:r>
        <w:rPr>
          <w:color w:val="000000"/>
          <w:spacing w:val="1"/>
          <w:kern w:val="0"/>
          <w:sz w:val="24"/>
        </w:rPr>
        <w:t>按照水环境风险受体敏感程度，同时考虑河流跨界的情况和可能造成土壤污染的情况，将水环境风险受体敏感程度类型划分为类型 1、类型 2 和类型 3，分别以 E1、E2 和 E3 表示，见表7-11。</w:t>
      </w:r>
      <w:r>
        <w:rPr>
          <w:color w:val="000000"/>
          <w:spacing w:val="1"/>
          <w:kern w:val="0"/>
          <w:sz w:val="24"/>
        </w:rPr>
        <w:br w:type="textWrapping"/>
      </w:r>
      <w:r>
        <w:rPr>
          <w:color w:val="000000"/>
          <w:spacing w:val="1"/>
          <w:kern w:val="0"/>
          <w:sz w:val="24"/>
        </w:rPr>
        <w:t>　　水环境风险受体敏感程度按类型1、类型2和类型3顺序依次降低。若企业周边存在多种敏感程度类型的水环境风险受体，则按敏感程度高者确定企业水环境风险受体敏感程度类型。</w:t>
      </w:r>
    </w:p>
    <w:p>
      <w:pPr>
        <w:autoSpaceDE w:val="0"/>
        <w:autoSpaceDN w:val="0"/>
        <w:adjustRightInd w:val="0"/>
        <w:ind w:firstLine="482"/>
        <w:jc w:val="center"/>
        <w:rPr>
          <w:b/>
          <w:bCs/>
          <w:color w:val="000000"/>
          <w:spacing w:val="1"/>
          <w:kern w:val="0"/>
          <w:szCs w:val="21"/>
        </w:rPr>
      </w:pPr>
      <w:r>
        <w:rPr>
          <w:b/>
          <w:bCs/>
          <w:color w:val="000000"/>
          <w:spacing w:val="1"/>
          <w:kern w:val="0"/>
          <w:szCs w:val="21"/>
        </w:rPr>
        <w:t>表7-11 水环境风险受体敏感程度类型划分</w:t>
      </w:r>
    </w:p>
    <w:p>
      <w:pPr>
        <w:pStyle w:val="13"/>
        <w:shd w:val="clear" w:color="auto" w:fill="FFFFFF"/>
        <w:spacing w:beforeAutospacing="0" w:afterAutospacing="0" w:line="360" w:lineRule="auto"/>
        <w:rPr>
          <w:rFonts w:ascii="Times New Roman" w:hAnsi="Times New Roman"/>
          <w:color w:val="000000"/>
          <w:spacing w:val="1"/>
        </w:rPr>
      </w:pPr>
      <w:r>
        <w:rPr>
          <w:rFonts w:ascii="Times New Roman" w:hAnsi="Times New Roman"/>
          <w:color w:val="444444"/>
          <w:shd w:val="clear" w:color="auto" w:fill="FFFFFF"/>
        </w:rPr>
        <w:drawing>
          <wp:inline distT="0" distB="0" distL="0" distR="0">
            <wp:extent cx="5219700" cy="3486150"/>
            <wp:effectExtent l="0" t="0" r="7620" b="3810"/>
            <wp:docPr id="32" name="图片 33"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3" descr="IMG_267"/>
                    <pic:cNvPicPr>
                      <a:picLocks noChangeAspect="1" noChangeArrowheads="1"/>
                    </pic:cNvPicPr>
                  </pic:nvPicPr>
                  <pic:blipFill>
                    <a:blip r:embed="rId45" cstate="print"/>
                    <a:srcRect t="4582" r="-218"/>
                    <a:stretch>
                      <a:fillRect/>
                    </a:stretch>
                  </pic:blipFill>
                  <pic:spPr>
                    <a:xfrm>
                      <a:off x="0" y="0"/>
                      <a:ext cx="5219700" cy="3486150"/>
                    </a:xfrm>
                    <a:prstGeom prst="rect">
                      <a:avLst/>
                    </a:prstGeom>
                    <a:noFill/>
                    <a:ln w="9525">
                      <a:noFill/>
                      <a:miter lim="800000"/>
                      <a:headEnd/>
                      <a:tailEnd/>
                    </a:ln>
                  </pic:spPr>
                </pic:pic>
              </a:graphicData>
            </a:graphic>
          </wp:inline>
        </w:drawing>
      </w:r>
    </w:p>
    <w:p>
      <w:pPr>
        <w:autoSpaceDE w:val="0"/>
        <w:autoSpaceDN w:val="0"/>
        <w:adjustRightInd w:val="0"/>
        <w:spacing w:line="360" w:lineRule="auto"/>
        <w:ind w:firstLine="480" w:firstLineChars="200"/>
        <w:rPr>
          <w:color w:val="000000"/>
          <w:sz w:val="24"/>
        </w:rPr>
      </w:pPr>
      <w:bookmarkStart w:id="123" w:name="_Toc1908"/>
      <w:bookmarkStart w:id="124" w:name="_Toc27217"/>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Lines="100" w:afterLines="50" w:line="360" w:lineRule="auto"/>
        <w:outlineLvl w:val="0"/>
        <w:rPr>
          <w:b/>
          <w:bCs/>
          <w:color w:val="000000"/>
          <w:sz w:val="24"/>
        </w:rPr>
      </w:pPr>
      <w:bookmarkStart w:id="125" w:name="_Toc32041"/>
      <w:r>
        <w:rPr>
          <w:b/>
          <w:bCs/>
          <w:color w:val="000000"/>
          <w:sz w:val="24"/>
        </w:rPr>
        <w:t>7.2.4突发水环境事件风险等级确定</w:t>
      </w:r>
      <w:bookmarkEnd w:id="123"/>
      <w:bookmarkEnd w:id="124"/>
      <w:bookmarkEnd w:id="125"/>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根据企业周边水环境风险受体敏感程度（E）、涉水风险物质数量与临界量比值（Q）和生产工艺过程与水环境风险控制水平（M），按照表7-12确定企业突发水环境事件风险等级。</w:t>
      </w:r>
    </w:p>
    <w:p>
      <w:pPr>
        <w:autoSpaceDE w:val="0"/>
        <w:autoSpaceDN w:val="0"/>
        <w:adjustRightInd w:val="0"/>
        <w:spacing w:line="360" w:lineRule="auto"/>
        <w:ind w:firstLine="422" w:firstLineChars="200"/>
        <w:jc w:val="center"/>
        <w:rPr>
          <w:color w:val="000000"/>
          <w:sz w:val="24"/>
        </w:rPr>
      </w:pPr>
      <w:r>
        <w:rPr>
          <w:b/>
          <w:bCs/>
          <w:szCs w:val="21"/>
        </w:rPr>
        <w:t>表7-12 企业突发水环境事件风险等级</w:t>
      </w:r>
      <w:r>
        <w:rPr>
          <w:color w:val="444444"/>
          <w:shd w:val="clear" w:color="auto" w:fill="FFFFFF"/>
        </w:rPr>
        <w:drawing>
          <wp:inline distT="0" distB="0" distL="0" distR="0">
            <wp:extent cx="5153025" cy="2667000"/>
            <wp:effectExtent l="0" t="0" r="13335" b="0"/>
            <wp:docPr id="33" name="图片 34"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descr="IMG_263"/>
                    <pic:cNvPicPr>
                      <a:picLocks noChangeAspect="1" noChangeArrowheads="1"/>
                    </pic:cNvPicPr>
                  </pic:nvPicPr>
                  <pic:blipFill>
                    <a:blip r:embed="rId44" cstate="print"/>
                    <a:srcRect t="6802" r="272"/>
                    <a:stretch>
                      <a:fillRect/>
                    </a:stretch>
                  </pic:blipFill>
                  <pic:spPr>
                    <a:xfrm>
                      <a:off x="0" y="0"/>
                      <a:ext cx="5153025" cy="266700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Lines="100" w:afterLines="50" w:line="360" w:lineRule="auto"/>
        <w:outlineLvl w:val="0"/>
        <w:rPr>
          <w:color w:val="444444"/>
          <w:sz w:val="24"/>
          <w:shd w:val="clear" w:color="auto" w:fill="FFFFFF"/>
        </w:rPr>
      </w:pPr>
      <w:bookmarkStart w:id="126" w:name="_Toc20207"/>
      <w:bookmarkStart w:id="127" w:name="_Toc18018"/>
      <w:bookmarkStart w:id="128" w:name="_Toc24037"/>
      <w:r>
        <w:rPr>
          <w:b/>
          <w:bCs/>
          <w:color w:val="000000"/>
          <w:sz w:val="24"/>
        </w:rPr>
        <w:t>7.2.5突发水环境事件风险等级表征</w:t>
      </w:r>
      <w:bookmarkEnd w:id="126"/>
      <w:bookmarkEnd w:id="127"/>
      <w:bookmarkEnd w:id="128"/>
    </w:p>
    <w:p>
      <w:pPr>
        <w:pStyle w:val="2"/>
        <w:ind w:firstLine="484"/>
        <w:jc w:val="both"/>
        <w:rPr>
          <w:rFonts w:hint="default"/>
          <w:color w:val="000000"/>
          <w:spacing w:val="1"/>
          <w:szCs w:val="24"/>
        </w:rPr>
      </w:pPr>
      <w:r>
        <w:rPr>
          <w:rFonts w:hint="default"/>
          <w:color w:val="000000"/>
          <w:spacing w:val="1"/>
          <w:szCs w:val="24"/>
        </w:rPr>
        <w:t>企业突发水环境事件风险等级表征分为两种情况：</w:t>
      </w:r>
    </w:p>
    <w:p>
      <w:pPr>
        <w:pStyle w:val="2"/>
        <w:ind w:firstLine="484"/>
        <w:jc w:val="both"/>
        <w:rPr>
          <w:rFonts w:hint="default"/>
          <w:color w:val="000000"/>
          <w:spacing w:val="1"/>
          <w:szCs w:val="24"/>
        </w:rPr>
      </w:pPr>
      <w:r>
        <w:rPr>
          <w:rFonts w:hint="default"/>
          <w:color w:val="000000"/>
          <w:spacing w:val="1"/>
          <w:szCs w:val="24"/>
        </w:rPr>
        <w:t>（1）Q＜1时，企业突发水环境事件风险等级表示为</w:t>
      </w:r>
      <w:r>
        <w:rPr>
          <w:color w:val="000000"/>
          <w:spacing w:val="1"/>
          <w:szCs w:val="24"/>
        </w:rPr>
        <w:t>“</w:t>
      </w:r>
      <w:r>
        <w:rPr>
          <w:rFonts w:hint="default"/>
          <w:color w:val="000000"/>
          <w:spacing w:val="1"/>
          <w:szCs w:val="24"/>
        </w:rPr>
        <w:t>一般-</w:t>
      </w:r>
    </w:p>
    <w:p>
      <w:pPr>
        <w:pStyle w:val="2"/>
        <w:ind w:firstLine="484"/>
        <w:jc w:val="both"/>
        <w:rPr>
          <w:rFonts w:hint="default"/>
          <w:color w:val="000000"/>
          <w:spacing w:val="1"/>
          <w:szCs w:val="24"/>
        </w:rPr>
      </w:pPr>
      <w:r>
        <w:rPr>
          <w:rFonts w:hint="default"/>
          <w:color w:val="000000"/>
          <w:spacing w:val="1"/>
          <w:szCs w:val="24"/>
        </w:rPr>
        <w:t>水（Q0）</w:t>
      </w:r>
      <w:r>
        <w:rPr>
          <w:color w:val="000000"/>
          <w:spacing w:val="1"/>
          <w:szCs w:val="24"/>
        </w:rPr>
        <w:t>”</w:t>
      </w:r>
      <w:r>
        <w:rPr>
          <w:rFonts w:hint="default"/>
          <w:color w:val="000000"/>
          <w:spacing w:val="1"/>
          <w:szCs w:val="24"/>
        </w:rPr>
        <w:t>。</w:t>
      </w:r>
    </w:p>
    <w:p>
      <w:pPr>
        <w:pStyle w:val="2"/>
        <w:ind w:firstLine="484"/>
        <w:jc w:val="both"/>
        <w:rPr>
          <w:rFonts w:hint="default"/>
          <w:color w:val="000000"/>
          <w:spacing w:val="1"/>
          <w:szCs w:val="24"/>
        </w:rPr>
      </w:pPr>
      <w:r>
        <w:rPr>
          <w:rFonts w:hint="default"/>
          <w:color w:val="000000"/>
          <w:spacing w:val="1"/>
          <w:szCs w:val="24"/>
        </w:rPr>
        <w:t>（2）Q≥1时，企业突发水环境事件风险等级表示为</w:t>
      </w:r>
      <w:r>
        <w:rPr>
          <w:color w:val="000000"/>
          <w:spacing w:val="1"/>
          <w:szCs w:val="24"/>
        </w:rPr>
        <w:t>“</w:t>
      </w:r>
      <w:r>
        <w:rPr>
          <w:rFonts w:hint="default"/>
          <w:color w:val="000000"/>
          <w:spacing w:val="1"/>
          <w:szCs w:val="24"/>
        </w:rPr>
        <w:t>环境风</w:t>
      </w:r>
    </w:p>
    <w:p>
      <w:pPr>
        <w:pStyle w:val="2"/>
        <w:ind w:firstLine="484"/>
        <w:jc w:val="both"/>
        <w:rPr>
          <w:rFonts w:hint="default"/>
          <w:color w:val="000000"/>
          <w:spacing w:val="1"/>
          <w:szCs w:val="24"/>
        </w:rPr>
      </w:pPr>
      <w:r>
        <w:rPr>
          <w:rFonts w:hint="default"/>
          <w:color w:val="000000"/>
          <w:spacing w:val="1"/>
          <w:szCs w:val="24"/>
        </w:rPr>
        <w:t>险等级-水（Q水平-M类型-E类型）</w:t>
      </w:r>
      <w:r>
        <w:rPr>
          <w:color w:val="000000"/>
          <w:spacing w:val="1"/>
          <w:szCs w:val="24"/>
        </w:rPr>
        <w:t>”</w:t>
      </w:r>
      <w:r>
        <w:rPr>
          <w:rFonts w:hint="default"/>
          <w:color w:val="000000"/>
          <w:spacing w:val="1"/>
          <w:szCs w:val="24"/>
        </w:rPr>
        <w:t>。</w:t>
      </w:r>
    </w:p>
    <w:p>
      <w:pPr>
        <w:pStyle w:val="2"/>
        <w:ind w:firstLine="484"/>
        <w:jc w:val="both"/>
        <w:rPr>
          <w:rFonts w:hint="default"/>
          <w:b/>
          <w:bCs/>
          <w:color w:val="000000"/>
          <w:spacing w:val="1"/>
          <w:szCs w:val="24"/>
        </w:rPr>
      </w:pPr>
      <w:bookmarkStart w:id="129" w:name="_Toc1710"/>
      <w:r>
        <w:rPr>
          <w:rFonts w:hint="default"/>
          <w:color w:val="000000"/>
          <w:spacing w:val="1"/>
          <w:szCs w:val="24"/>
        </w:rPr>
        <w:t>根据以上计算结果及辨识，Q=</w:t>
      </w:r>
      <w:r>
        <w:rPr>
          <w:rFonts w:hint="eastAsia" w:ascii="Times New Roman" w:hAnsi="Times New Roman" w:cs="Times New Roman"/>
          <w:color w:val="000000" w:themeColor="text1"/>
          <w:sz w:val="24"/>
          <w:szCs w:val="24"/>
          <w:lang w:val="en-US" w:eastAsia="zh-CN"/>
        </w:rPr>
        <w:t>0.295</w:t>
      </w:r>
      <w:r>
        <w:rPr>
          <w:rFonts w:hint="default"/>
          <w:color w:val="000000"/>
          <w:spacing w:val="1"/>
          <w:szCs w:val="24"/>
        </w:rPr>
        <w:t>，风险物质临界量比值为Q0，加油站突发水环境风险等级为</w:t>
      </w:r>
      <w:r>
        <w:rPr>
          <w:color w:val="000000"/>
          <w:spacing w:val="1"/>
          <w:szCs w:val="24"/>
        </w:rPr>
        <w:t>“</w:t>
      </w:r>
      <w:r>
        <w:rPr>
          <w:rFonts w:hint="default"/>
          <w:b/>
          <w:bCs/>
          <w:color w:val="000000"/>
          <w:spacing w:val="1"/>
          <w:szCs w:val="24"/>
        </w:rPr>
        <w:t>一般-水（Q0）</w:t>
      </w:r>
      <w:r>
        <w:rPr>
          <w:color w:val="000000"/>
          <w:spacing w:val="1"/>
          <w:szCs w:val="24"/>
        </w:rPr>
        <w:t>”</w:t>
      </w:r>
      <w:r>
        <w:rPr>
          <w:rFonts w:hint="default"/>
          <w:b/>
          <w:bCs/>
          <w:color w:val="000000"/>
          <w:spacing w:val="1"/>
          <w:szCs w:val="24"/>
        </w:rPr>
        <w:t>。</w:t>
      </w:r>
    </w:p>
    <w:p>
      <w:pPr>
        <w:autoSpaceDE w:val="0"/>
        <w:autoSpaceDN w:val="0"/>
        <w:adjustRightInd w:val="0"/>
        <w:snapToGrid w:val="0"/>
        <w:spacing w:beforeLines="100" w:afterLines="50" w:line="360" w:lineRule="auto"/>
        <w:outlineLvl w:val="0"/>
        <w:rPr>
          <w:b/>
          <w:bCs/>
          <w:color w:val="000000"/>
          <w:sz w:val="24"/>
        </w:rPr>
      </w:pPr>
      <w:bookmarkStart w:id="130" w:name="_Toc22952"/>
      <w:bookmarkStart w:id="131" w:name="_Toc7724"/>
      <w:r>
        <w:rPr>
          <w:b/>
          <w:bCs/>
          <w:color w:val="000000"/>
          <w:sz w:val="24"/>
        </w:rPr>
        <w:t>7.3企业突发环境事件风险等级确定与调整</w:t>
      </w:r>
      <w:bookmarkEnd w:id="129"/>
      <w:bookmarkEnd w:id="130"/>
      <w:bookmarkEnd w:id="131"/>
    </w:p>
    <w:p>
      <w:pPr>
        <w:autoSpaceDE w:val="0"/>
        <w:autoSpaceDN w:val="0"/>
        <w:adjustRightInd w:val="0"/>
        <w:snapToGrid w:val="0"/>
        <w:spacing w:beforeLines="100" w:afterLines="50" w:line="360" w:lineRule="auto"/>
        <w:outlineLvl w:val="0"/>
        <w:rPr>
          <w:b/>
          <w:bCs/>
          <w:color w:val="000000"/>
          <w:sz w:val="24"/>
        </w:rPr>
      </w:pPr>
      <w:bookmarkStart w:id="132" w:name="_Toc3194"/>
      <w:bookmarkStart w:id="133" w:name="_Toc4158"/>
      <w:bookmarkStart w:id="134" w:name="_Toc2516"/>
      <w:r>
        <w:rPr>
          <w:b/>
          <w:bCs/>
          <w:color w:val="000000"/>
          <w:sz w:val="24"/>
        </w:rPr>
        <w:t>7.3.1风险等级确定</w:t>
      </w:r>
      <w:bookmarkEnd w:id="132"/>
      <w:bookmarkEnd w:id="133"/>
      <w:bookmarkEnd w:id="134"/>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以企业突发大气环境事件风险和突发水环境事件风险等级高者确定企业突发环境事件风险等级。</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根据以上分级情况，企业突发大气环境事件风险和突发水环境事件风险都为一般环境风险。</w:t>
      </w:r>
    </w:p>
    <w:p>
      <w:pPr>
        <w:autoSpaceDE w:val="0"/>
        <w:autoSpaceDN w:val="0"/>
        <w:adjustRightInd w:val="0"/>
        <w:snapToGrid w:val="0"/>
        <w:spacing w:beforeLines="100" w:afterLines="50" w:line="360" w:lineRule="auto"/>
        <w:outlineLvl w:val="0"/>
        <w:rPr>
          <w:color w:val="000000"/>
          <w:spacing w:val="1"/>
          <w:kern w:val="0"/>
          <w:sz w:val="24"/>
        </w:rPr>
      </w:pPr>
      <w:bookmarkStart w:id="135" w:name="_Toc6800"/>
      <w:bookmarkStart w:id="136" w:name="_Toc21080"/>
      <w:bookmarkStart w:id="137" w:name="_Toc27847"/>
      <w:r>
        <w:rPr>
          <w:b/>
          <w:bCs/>
          <w:color w:val="000000"/>
          <w:sz w:val="24"/>
        </w:rPr>
        <w:t>7.3.2风险等级调整</w:t>
      </w:r>
      <w:bookmarkEnd w:id="135"/>
      <w:bookmarkEnd w:id="136"/>
      <w:bookmarkEnd w:id="137"/>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近三年内因违法排放污染物、非法转移处置危险废物等行为受到环境保护主管部门处罚的企业，在已评定的突发环境事件风险等级基础上调高一级，最高等级为重大。</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加油站近三年来未受到环境保护主管部门处罚，加油站突发大气环境事件风险为一般环境风险，突发水环境事件风险为一般环境风险。</w:t>
      </w:r>
    </w:p>
    <w:p>
      <w:pPr>
        <w:autoSpaceDE w:val="0"/>
        <w:autoSpaceDN w:val="0"/>
        <w:adjustRightInd w:val="0"/>
        <w:snapToGrid w:val="0"/>
        <w:spacing w:beforeLines="100" w:afterLines="50" w:line="360" w:lineRule="auto"/>
        <w:outlineLvl w:val="0"/>
        <w:rPr>
          <w:color w:val="000000"/>
          <w:spacing w:val="1"/>
          <w:kern w:val="0"/>
          <w:sz w:val="24"/>
        </w:rPr>
      </w:pPr>
      <w:bookmarkStart w:id="138" w:name="_Toc29199"/>
      <w:bookmarkStart w:id="139" w:name="_Toc5434"/>
      <w:bookmarkStart w:id="140" w:name="_Toc23558"/>
      <w:r>
        <w:rPr>
          <w:b/>
          <w:bCs/>
          <w:color w:val="000000"/>
          <w:sz w:val="24"/>
        </w:rPr>
        <w:t>7.3.3风险等级表征</w:t>
      </w:r>
      <w:bookmarkEnd w:id="138"/>
      <w:bookmarkEnd w:id="139"/>
      <w:bookmarkEnd w:id="140"/>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只涉及突发大气环境事件风险的企业，风险等级按7.1.5进行表征。</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只涉及突发水环境事件风险的企业，风险等级按7.2.5进行表征。</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同时涉及突发大气和水环境事件风险的企业，风险等级表示为“企业突发环境事件风险等级[突发大气环境事件风险等级表征+突发水环境事件风险等级表征]”，例如：重大[重大-大气（Q1-M3-E1）+较大-水（Q2-M2-E2）]。</w:t>
      </w:r>
    </w:p>
    <w:p>
      <w:pPr>
        <w:autoSpaceDE w:val="0"/>
        <w:autoSpaceDN w:val="0"/>
        <w:adjustRightInd w:val="0"/>
        <w:spacing w:line="360" w:lineRule="auto"/>
        <w:ind w:firstLine="484" w:firstLineChars="200"/>
        <w:rPr>
          <w:rFonts w:hint="eastAsia"/>
          <w:b/>
          <w:bCs/>
          <w:spacing w:val="1"/>
          <w:kern w:val="0"/>
          <w:sz w:val="24"/>
        </w:rPr>
      </w:pPr>
      <w:r>
        <w:rPr>
          <w:spacing w:val="1"/>
          <w:kern w:val="0"/>
          <w:sz w:val="24"/>
        </w:rPr>
        <w:t>根据以上计算结果及辨识，大气：Q=</w:t>
      </w:r>
      <w:r>
        <w:rPr>
          <w:rFonts w:hint="eastAsia" w:ascii="Times New Roman" w:hAnsi="Times New Roman" w:cs="Times New Roman"/>
          <w:color w:val="000000" w:themeColor="text1"/>
          <w:sz w:val="24"/>
          <w:szCs w:val="24"/>
          <w:lang w:val="en-US" w:eastAsia="zh-CN"/>
        </w:rPr>
        <w:t>0.295</w:t>
      </w:r>
      <w:r>
        <w:rPr>
          <w:sz w:val="24"/>
        </w:rPr>
        <w:t>，</w:t>
      </w:r>
      <w:r>
        <w:rPr>
          <w:spacing w:val="1"/>
          <w:kern w:val="0"/>
          <w:sz w:val="24"/>
        </w:rPr>
        <w:t>大气环境事件风险物质临界量比值为Q0；水：Q=</w:t>
      </w:r>
      <w:r>
        <w:rPr>
          <w:rFonts w:hint="eastAsia" w:ascii="Times New Roman" w:hAnsi="Times New Roman" w:cs="Times New Roman"/>
          <w:color w:val="000000" w:themeColor="text1"/>
          <w:sz w:val="24"/>
          <w:szCs w:val="24"/>
          <w:lang w:val="en-US" w:eastAsia="zh-CN"/>
        </w:rPr>
        <w:t>0.295</w:t>
      </w:r>
      <w:r>
        <w:rPr>
          <w:sz w:val="24"/>
        </w:rPr>
        <w:t>，</w:t>
      </w:r>
      <w:r>
        <w:rPr>
          <w:spacing w:val="1"/>
          <w:kern w:val="0"/>
          <w:sz w:val="24"/>
        </w:rPr>
        <w:t>水环境事件风险物质临界量比值为0；因此，企业突发环境风险等级为</w:t>
      </w:r>
      <w:r>
        <w:rPr>
          <w:b/>
          <w:bCs/>
          <w:spacing w:val="1"/>
          <w:kern w:val="0"/>
          <w:sz w:val="24"/>
        </w:rPr>
        <w:t>“一般-大气（Q0）+一般-水（Q0）</w:t>
      </w:r>
      <w:r>
        <w:rPr>
          <w:rFonts w:hint="eastAsia"/>
          <w:b/>
          <w:bCs/>
          <w:spacing w:val="1"/>
          <w:kern w:val="0"/>
          <w:sz w:val="24"/>
        </w:rPr>
        <w:t>。</w:t>
      </w:r>
    </w:p>
    <w:p>
      <w:pPr>
        <w:pStyle w:val="2"/>
        <w:rPr>
          <w:rFonts w:hint="eastAsia"/>
          <w:color w:val="FF0000"/>
          <w:spacing w:val="1"/>
          <w:kern w:val="0"/>
          <w:sz w:val="24"/>
          <w:lang w:eastAsia="zh-CN"/>
        </w:rPr>
      </w:pPr>
      <w:r>
        <w:rPr>
          <w:color w:val="FF0000"/>
          <w:spacing w:val="1"/>
          <w:kern w:val="0"/>
          <w:sz w:val="24"/>
        </w:rPr>
        <w:t>根据以上分级情况，</w:t>
      </w:r>
      <w:r>
        <w:rPr>
          <w:rFonts w:hint="eastAsia"/>
          <w:color w:val="FF0000"/>
          <w:spacing w:val="1"/>
          <w:kern w:val="0"/>
          <w:sz w:val="24"/>
          <w:lang w:val="en-US" w:eastAsia="zh-CN"/>
        </w:rPr>
        <w:t>公司</w:t>
      </w:r>
      <w:r>
        <w:rPr>
          <w:rFonts w:hint="eastAsia"/>
          <w:color w:val="FF0000"/>
          <w:spacing w:val="1"/>
          <w:kern w:val="0"/>
          <w:sz w:val="24"/>
          <w:lang w:eastAsia="zh-CN"/>
        </w:rPr>
        <w:t>环境风险值为</w:t>
      </w:r>
      <w:r>
        <w:rPr>
          <w:rFonts w:hint="eastAsia"/>
          <w:color w:val="FF0000"/>
          <w:spacing w:val="1"/>
          <w:kern w:val="0"/>
          <w:sz w:val="24"/>
          <w:lang w:val="en-US" w:eastAsia="zh-CN"/>
        </w:rPr>
        <w:t>Q0，可直接判定为一般风险</w:t>
      </w:r>
      <w:r>
        <w:rPr>
          <w:rFonts w:hint="eastAsia"/>
          <w:color w:val="FF0000"/>
          <w:spacing w:val="1"/>
          <w:kern w:val="0"/>
          <w:sz w:val="24"/>
          <w:lang w:eastAsia="zh-CN"/>
        </w:rPr>
        <w:t>。</w:t>
      </w:r>
    </w:p>
    <w:p>
      <w:pPr>
        <w:rPr>
          <w:rFonts w:hint="eastAsia"/>
        </w:rPr>
      </w:pPr>
      <w:bookmarkStart w:id="145" w:name="_GoBack"/>
      <w:bookmarkEnd w:id="145"/>
    </w:p>
    <w:p>
      <w:pPr>
        <w:pStyle w:val="19"/>
        <w:rPr>
          <w:rFonts w:hint="eastAsia"/>
          <w:b/>
          <w:bCs/>
          <w:spacing w:val="1"/>
          <w:kern w:val="0"/>
          <w:sz w:val="24"/>
        </w:rPr>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p>
      <w:pPr>
        <w:widowControl/>
        <w:jc w:val="left"/>
        <w:rPr>
          <w:kern w:val="0"/>
          <w:sz w:val="24"/>
        </w:rPr>
      </w:pPr>
      <w:r>
        <w:rPr>
          <w:b/>
          <w:bCs/>
          <w:sz w:val="24"/>
        </w:rPr>
        <w:t>8、附图、附件</w:t>
      </w:r>
    </w:p>
    <w:p>
      <w:pPr>
        <w:pStyle w:val="26"/>
        <w:spacing w:line="360" w:lineRule="auto"/>
        <w:jc w:val="left"/>
        <w:outlineLvl w:val="1"/>
        <w:rPr>
          <w:color w:val="000000" w:themeColor="text1"/>
          <w:kern w:val="0"/>
          <w:sz w:val="24"/>
          <w:lang w:val="zh-CN"/>
        </w:rPr>
      </w:pPr>
      <w:bookmarkStart w:id="141" w:name="_Toc17465"/>
      <w:r>
        <w:rPr>
          <w:rFonts w:ascii="Times New Roman" w:hAnsi="Times New Roman" w:eastAsia="宋体"/>
          <w:b/>
        </w:rPr>
        <w:t>附图1：项目地理位置图</w:t>
      </w:r>
      <w:bookmarkEnd w:id="141"/>
    </w:p>
    <w:p>
      <w:pPr>
        <w:pStyle w:val="2"/>
        <w:ind w:left="0" w:leftChars="0" w:firstLine="0" w:firstLineChars="0"/>
        <w:jc w:val="center"/>
        <w:rPr>
          <w:lang w:val="zh-CN"/>
        </w:rPr>
      </w:pPr>
      <w:r>
        <w:pict>
          <v:shape id="对话气泡: 圆角矩形 35" o:spid="_x0000_s1095" o:spt="62" type="#_x0000_t62" style="position:absolute;left:0pt;margin-left:198.8pt;margin-top:111.75pt;height:27.75pt;width:77.25pt;z-index:251669504;v-text-anchor:middle;mso-width-relative:margin;mso-height-relative:margin;"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" adj="1723,42814">
            <v:path/>
            <v:fill focussize="0,0"/>
            <v:stroke weight="1pt" color="#ED7D31" joinstyle="miter"/>
            <v:imagedata o:title=""/>
            <o:lock v:ext="edit"/>
            <v:textbox>
              <w:txbxContent>
                <w:p>
                  <w:pPr>
                    <w:jc w:val="center"/>
                  </w:pPr>
                  <w:r>
                    <w:rPr>
                      <w:rFonts w:hint="eastAsia"/>
                    </w:rPr>
                    <w:t>项目所在地</w:t>
                  </w:r>
                </w:p>
              </w:txbxContent>
            </v:textbox>
          </v:shape>
        </w:pict>
      </w:r>
      <w:r>
        <w:rPr>
          <w:rFonts w:hint="eastAsia"/>
          <w:sz w:val="24"/>
          <w:szCs w:val="20"/>
        </w:rPr>
        <w:drawing>
          <wp:anchor distT="0" distB="0" distL="114300" distR="114300" simplePos="0" relativeHeight="251649024" behindDoc="0" locked="0" layoutInCell="1" allowOverlap="1">
            <wp:simplePos x="0" y="0"/>
            <wp:positionH relativeFrom="column">
              <wp:posOffset>4741545</wp:posOffset>
            </wp:positionH>
            <wp:positionV relativeFrom="paragraph">
              <wp:posOffset>3810</wp:posOffset>
            </wp:positionV>
            <wp:extent cx="904875" cy="862330"/>
            <wp:effectExtent l="0" t="0" r="0" b="0"/>
            <wp:wrapNone/>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904875" cy="862459"/>
                    </a:xfrm>
                    <a:prstGeom prst="rect">
                      <a:avLst/>
                    </a:prstGeom>
                    <a:noFill/>
                    <a:ln>
                      <a:noFill/>
                    </a:ln>
                  </pic:spPr>
                </pic:pic>
              </a:graphicData>
            </a:graphic>
          </wp:anchor>
        </w:drawing>
      </w:r>
      <w:r>
        <w:drawing>
          <wp:inline distT="0" distB="0" distL="114935" distR="114935">
            <wp:extent cx="5632450" cy="4347210"/>
            <wp:effectExtent l="0" t="0" r="6350" b="1143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46"/>
                    <a:stretch>
                      <a:fillRect/>
                    </a:stretch>
                  </pic:blipFill>
                  <pic:spPr>
                    <a:xfrm>
                      <a:off x="0" y="0"/>
                      <a:ext cx="5632450" cy="4347210"/>
                    </a:xfrm>
                    <a:prstGeom prst="rect">
                      <a:avLst/>
                    </a:prstGeom>
                    <a:noFill/>
                    <a:ln>
                      <a:noFill/>
                    </a:ln>
                  </pic:spPr>
                </pic:pic>
              </a:graphicData>
            </a:graphic>
          </wp:inline>
        </w:drawing>
      </w:r>
    </w:p>
    <w:p>
      <w:pPr>
        <w:widowControl/>
        <w:jc w:val="left"/>
        <w:rPr>
          <w:color w:val="000000" w:themeColor="text1"/>
          <w:kern w:val="0"/>
          <w:sz w:val="24"/>
          <w:lang w:val="zh-CN"/>
        </w:rPr>
      </w:pPr>
      <w:r>
        <w:rPr>
          <w:color w:val="000000" w:themeColor="text1"/>
          <w:kern w:val="0"/>
          <w:sz w:val="24"/>
          <w:lang w:val="zh-CN"/>
        </w:rPr>
        <w:br w:type="page"/>
      </w:r>
    </w:p>
    <w:p>
      <w:pPr>
        <w:pStyle w:val="26"/>
        <w:spacing w:line="360" w:lineRule="auto"/>
        <w:jc w:val="left"/>
        <w:outlineLvl w:val="1"/>
        <w:rPr>
          <w:rFonts w:hint="eastAsia"/>
          <w:szCs w:val="20"/>
        </w:rPr>
      </w:pPr>
      <w:bookmarkStart w:id="142" w:name="_Toc23640"/>
      <w:r>
        <w:rPr>
          <w:rFonts w:ascii="Times New Roman" w:hAnsi="Times New Roman" w:eastAsia="宋体"/>
          <w:b/>
        </w:rPr>
        <w:t>附图2：项目周边环境受体分布图</w:t>
      </w:r>
      <w:bookmarkEnd w:id="142"/>
      <w:bookmarkStart w:id="143" w:name="_Hlk11700293"/>
    </w:p>
    <w:p>
      <w:pPr>
        <w:pStyle w:val="2"/>
        <w:jc w:val="both"/>
      </w:pPr>
      <w:r>
        <w:rPr>
          <w:sz w:val="24"/>
        </w:rPr>
        <w:pict>
          <v:shape id="_x0000_s1097" o:spid="_x0000_s1097" o:spt="61" type="#_x0000_t61" style="position:absolute;left:0pt;margin-left:238.65pt;margin-top:158.7pt;height:22.9pt;width:70.25pt;z-index:252017664;mso-width-relative:page;mso-height-relative:page;" filled="f" stroked="t" coordsize="21600,21600" adj="-3134,53415">
            <v:path/>
            <v:fill on="f" focussize="0,0"/>
            <v:stroke weight="2.25pt" color="#C00000" joinstyle="miter"/>
            <v:imagedata o:title=""/>
            <o:lock v:ext="edit" aspectratio="f"/>
            <v:textbox>
              <w:txbxContent>
                <w:p>
                  <w:pPr>
                    <w:rPr>
                      <w:rFonts w:hint="default" w:eastAsiaTheme="minorEastAsia"/>
                      <w:b/>
                      <w:bCs/>
                      <w:sz w:val="24"/>
                      <w:szCs w:val="24"/>
                      <w:highlight w:val="yellow"/>
                      <w:lang w:val="en-US" w:eastAsia="zh-CN"/>
                    </w:rPr>
                  </w:pPr>
                  <w:r>
                    <w:rPr>
                      <w:rFonts w:hint="eastAsia"/>
                      <w:b/>
                      <w:bCs/>
                      <w:sz w:val="24"/>
                      <w:szCs w:val="24"/>
                      <w:highlight w:val="yellow"/>
                      <w:lang w:val="en-US" w:eastAsia="zh-CN"/>
                    </w:rPr>
                    <w:t>项目所在地</w:t>
                  </w:r>
                </w:p>
              </w:txbxContent>
            </v:textbox>
          </v:shape>
        </w:pict>
      </w:r>
      <w:r>
        <w:rPr>
          <w:rFonts w:hint="eastAsia"/>
          <w:szCs w:val="20"/>
        </w:rPr>
        <w:drawing>
          <wp:anchor distT="0" distB="0" distL="114300" distR="114300" simplePos="0" relativeHeight="251650048" behindDoc="0" locked="0" layoutInCell="1" allowOverlap="1">
            <wp:simplePos x="0" y="0"/>
            <wp:positionH relativeFrom="column">
              <wp:posOffset>4528820</wp:posOffset>
            </wp:positionH>
            <wp:positionV relativeFrom="paragraph">
              <wp:posOffset>57150</wp:posOffset>
            </wp:positionV>
            <wp:extent cx="904875" cy="862330"/>
            <wp:effectExtent l="0" t="0" r="0" b="0"/>
            <wp:wrapNone/>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904875" cy="862330"/>
                    </a:xfrm>
                    <a:prstGeom prst="rect">
                      <a:avLst/>
                    </a:prstGeom>
                    <a:noFill/>
                    <a:ln>
                      <a:noFill/>
                    </a:ln>
                  </pic:spPr>
                </pic:pic>
              </a:graphicData>
            </a:graphic>
          </wp:anchor>
        </w:drawing>
      </w:r>
      <w:r>
        <w:drawing>
          <wp:inline distT="0" distB="0" distL="114300" distR="114300">
            <wp:extent cx="5140325" cy="5215890"/>
            <wp:effectExtent l="0" t="0" r="10795" b="11430"/>
            <wp:docPr id="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4"/>
                    <pic:cNvPicPr>
                      <a:picLocks noChangeAspect="1"/>
                    </pic:cNvPicPr>
                  </pic:nvPicPr>
                  <pic:blipFill>
                    <a:blip r:embed="rId10"/>
                    <a:stretch>
                      <a:fillRect/>
                    </a:stretch>
                  </pic:blipFill>
                  <pic:spPr>
                    <a:xfrm>
                      <a:off x="0" y="0"/>
                      <a:ext cx="5140325" cy="5215890"/>
                    </a:xfrm>
                    <a:prstGeom prst="rect">
                      <a:avLst/>
                    </a:prstGeom>
                    <a:noFill/>
                    <a:ln>
                      <a:noFill/>
                    </a:ln>
                  </pic:spPr>
                </pic:pic>
              </a:graphicData>
            </a:graphic>
          </wp:inline>
        </w:drawing>
      </w:r>
    </w:p>
    <w:p>
      <w:r>
        <w:br w:type="page"/>
      </w:r>
    </w:p>
    <w:p/>
    <w:p>
      <w:pPr>
        <w:pStyle w:val="26"/>
        <w:spacing w:line="360" w:lineRule="auto"/>
        <w:jc w:val="left"/>
        <w:outlineLvl w:val="1"/>
        <w:rPr>
          <w:b/>
          <w:sz w:val="24"/>
        </w:rPr>
      </w:pPr>
      <w:bookmarkStart w:id="144" w:name="_Toc16516"/>
      <w:r>
        <w:rPr>
          <w:rFonts w:ascii="Times New Roman" w:hAnsi="Times New Roman" w:eastAsia="宋体"/>
          <w:b/>
        </w:rPr>
        <w:t>附件</w:t>
      </w:r>
      <w:r>
        <w:rPr>
          <w:rFonts w:hint="eastAsia" w:ascii="Times New Roman" w:hAnsi="Times New Roman" w:eastAsia="宋体"/>
          <w:b/>
        </w:rPr>
        <w:t>一</w:t>
      </w:r>
      <w:r>
        <w:rPr>
          <w:rFonts w:hint="eastAsia" w:ascii="Times New Roman" w:hAnsi="Times New Roman" w:eastAsia="宋体"/>
          <w:b/>
          <w:lang w:val="en-US" w:eastAsia="zh-CN"/>
        </w:rPr>
        <w:t xml:space="preserve"> </w:t>
      </w:r>
      <w:r>
        <w:rPr>
          <w:rFonts w:ascii="Times New Roman" w:hAnsi="Times New Roman" w:eastAsia="宋体"/>
          <w:b/>
        </w:rPr>
        <w:t>加油站应急救援小组联系人及电话</w:t>
      </w:r>
      <w:bookmarkEnd w:id="143"/>
      <w:bookmarkEnd w:id="144"/>
    </w:p>
    <w:tbl>
      <w:tblPr>
        <w:tblStyle w:val="14"/>
        <w:tblW w:w="8259" w:type="dxa"/>
        <w:tblInd w:w="36"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0" w:type="dxa"/>
          <w:bottom w:w="0" w:type="dxa"/>
          <w:right w:w="0" w:type="dxa"/>
        </w:tblCellMar>
      </w:tblPr>
      <w:tblGrid>
        <w:gridCol w:w="2103"/>
        <w:gridCol w:w="1313"/>
        <w:gridCol w:w="2023"/>
        <w:gridCol w:w="2820"/>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rPr>
            </w:pPr>
            <w:r>
              <w:rPr>
                <w:rFonts w:hint="eastAsia" w:asciiTheme="minorEastAsia" w:hAnsiTheme="minorEastAsia" w:eastAsiaTheme="minorEastAsia" w:cstheme="minorEastAsia"/>
                <w:bCs/>
                <w:color w:val="000000" w:themeColor="text1"/>
                <w:sz w:val="21"/>
                <w:szCs w:val="21"/>
              </w:rPr>
              <w:t>应急机构名称</w:t>
            </w:r>
          </w:p>
        </w:tc>
        <w:tc>
          <w:tcPr>
            <w:tcW w:w="1313"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lang w:val="en-US" w:eastAsia="zh-CN"/>
              </w:rPr>
            </w:pPr>
            <w:r>
              <w:rPr>
                <w:rStyle w:val="39"/>
                <w:rFonts w:hint="eastAsia" w:asciiTheme="minorEastAsia" w:hAnsiTheme="minorEastAsia" w:eastAsiaTheme="minorEastAsia" w:cstheme="minorEastAsia"/>
                <w:color w:val="000000" w:themeColor="text1"/>
                <w:spacing w:val="4"/>
                <w:sz w:val="21"/>
                <w:szCs w:val="21"/>
                <w:lang w:val="en-US" w:eastAsia="zh-CN"/>
              </w:rPr>
              <w:t>姓名</w:t>
            </w:r>
          </w:p>
        </w:tc>
        <w:tc>
          <w:tcPr>
            <w:tcW w:w="2023"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lang w:val="en-US" w:eastAsia="zh-CN"/>
              </w:rPr>
            </w:pPr>
            <w:r>
              <w:rPr>
                <w:rStyle w:val="39"/>
                <w:rFonts w:hint="eastAsia" w:asciiTheme="minorEastAsia" w:hAnsiTheme="minorEastAsia" w:eastAsiaTheme="minorEastAsia" w:cstheme="minorEastAsia"/>
                <w:color w:val="000000" w:themeColor="text1"/>
                <w:spacing w:val="4"/>
                <w:sz w:val="21"/>
                <w:szCs w:val="21"/>
                <w:lang w:val="en-US" w:eastAsia="zh-CN"/>
              </w:rPr>
              <w:t>公司职务</w:t>
            </w:r>
          </w:p>
        </w:tc>
        <w:tc>
          <w:tcPr>
            <w:tcW w:w="2820"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lang w:val="en-US" w:eastAsia="zh-CN"/>
              </w:rPr>
            </w:pPr>
            <w:r>
              <w:rPr>
                <w:rStyle w:val="39"/>
                <w:rFonts w:hint="eastAsia" w:asciiTheme="minorEastAsia" w:hAnsiTheme="minorEastAsia" w:eastAsiaTheme="minorEastAsia" w:cstheme="minorEastAsia"/>
                <w:color w:val="000000" w:themeColor="text1"/>
                <w:spacing w:val="4"/>
                <w:sz w:val="21"/>
                <w:szCs w:val="21"/>
                <w:lang w:val="en-US" w:eastAsia="zh-CN"/>
              </w:rPr>
              <w:t>联系方式</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lang w:val="en-US" w:eastAsia="zh-CN"/>
              </w:rPr>
            </w:pPr>
            <w:r>
              <w:rPr>
                <w:rStyle w:val="39"/>
                <w:rFonts w:hint="eastAsia" w:asciiTheme="minorEastAsia" w:hAnsiTheme="minorEastAsia" w:eastAsiaTheme="minorEastAsia" w:cstheme="minorEastAsia"/>
                <w:color w:val="000000" w:themeColor="text1"/>
                <w:spacing w:val="4"/>
                <w:sz w:val="21"/>
                <w:szCs w:val="21"/>
                <w:lang w:val="en-US" w:eastAsia="zh-CN"/>
              </w:rPr>
              <w:t>总指挥</w:t>
            </w:r>
          </w:p>
        </w:tc>
        <w:tc>
          <w:tcPr>
            <w:tcW w:w="131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李诵剑</w:t>
            </w:r>
          </w:p>
        </w:tc>
        <w:tc>
          <w:tcPr>
            <w:tcW w:w="202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站经理</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15180166013</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lang w:val="en-US" w:eastAsia="zh-CN"/>
              </w:rPr>
            </w:pPr>
            <w:r>
              <w:rPr>
                <w:rStyle w:val="39"/>
                <w:rFonts w:hint="eastAsia" w:asciiTheme="minorEastAsia" w:hAnsiTheme="minorEastAsia" w:eastAsiaTheme="minorEastAsia" w:cstheme="minorEastAsia"/>
                <w:color w:val="000000" w:themeColor="text1"/>
                <w:spacing w:val="4"/>
                <w:sz w:val="21"/>
                <w:szCs w:val="21"/>
                <w:lang w:val="en-US" w:eastAsia="zh-CN"/>
              </w:rPr>
              <w:t>副总指挥</w:t>
            </w:r>
          </w:p>
        </w:tc>
        <w:tc>
          <w:tcPr>
            <w:tcW w:w="131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陈和川</w:t>
            </w:r>
          </w:p>
        </w:tc>
        <w:tc>
          <w:tcPr>
            <w:tcW w:w="202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前庭主管</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18720070872</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color w:val="000000" w:themeColor="text1"/>
                <w:spacing w:val="4"/>
                <w:sz w:val="21"/>
                <w:szCs w:val="21"/>
                <w:lang w:val="en-US" w:eastAsia="zh-CN"/>
              </w:rPr>
              <w:t>应急指挥部办公室</w:t>
            </w:r>
          </w:p>
        </w:tc>
        <w:tc>
          <w:tcPr>
            <w:tcW w:w="131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熊艳红</w:t>
            </w:r>
          </w:p>
        </w:tc>
        <w:tc>
          <w:tcPr>
            <w:tcW w:w="202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营业员</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15070010820</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color w:val="000000" w:themeColor="text1"/>
                <w:spacing w:val="4"/>
                <w:sz w:val="21"/>
                <w:szCs w:val="21"/>
              </w:rPr>
              <w:t>抢险救灾队</w:t>
            </w:r>
          </w:p>
        </w:tc>
        <w:tc>
          <w:tcPr>
            <w:tcW w:w="131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万艳茹</w:t>
            </w:r>
          </w:p>
        </w:tc>
        <w:tc>
          <w:tcPr>
            <w:tcW w:w="2023" w:type="dxa"/>
            <w:tcBorders>
              <w:tl2br w:val="nil"/>
              <w:tr2bl w:val="nil"/>
            </w:tcBorders>
            <w:vAlign w:val="center"/>
          </w:tcPr>
          <w:p>
            <w:pPr>
              <w:pStyle w:val="40"/>
              <w:spacing w:line="240" w:lineRule="auto"/>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营业员</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15979101357</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color w:val="000000" w:themeColor="text1"/>
                <w:spacing w:val="4"/>
                <w:sz w:val="21"/>
                <w:szCs w:val="21"/>
                <w:lang w:val="en-US" w:eastAsia="zh-CN"/>
              </w:rPr>
              <w:t>警戒疏散队</w:t>
            </w:r>
          </w:p>
        </w:tc>
        <w:tc>
          <w:tcPr>
            <w:tcW w:w="131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高艳萍</w:t>
            </w:r>
          </w:p>
        </w:tc>
        <w:tc>
          <w:tcPr>
            <w:tcW w:w="202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营业员</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18146717777</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color w:val="000000" w:themeColor="text1"/>
                <w:spacing w:val="4"/>
                <w:sz w:val="21"/>
                <w:szCs w:val="21"/>
                <w:lang w:val="en-US" w:eastAsia="zh-CN"/>
              </w:rPr>
              <w:t>环境监测队</w:t>
            </w:r>
          </w:p>
        </w:tc>
        <w:tc>
          <w:tcPr>
            <w:tcW w:w="131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陈荣霞</w:t>
            </w:r>
          </w:p>
        </w:tc>
        <w:tc>
          <w:tcPr>
            <w:tcW w:w="202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营业员</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13517095008</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color w:val="000000" w:themeColor="text1"/>
                <w:spacing w:val="4"/>
                <w:sz w:val="21"/>
                <w:szCs w:val="21"/>
                <w:lang w:val="en-US" w:eastAsia="zh-CN"/>
              </w:rPr>
              <w:t>通讯及后勤保障队</w:t>
            </w:r>
          </w:p>
        </w:tc>
        <w:tc>
          <w:tcPr>
            <w:tcW w:w="131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李诵剑</w:t>
            </w:r>
          </w:p>
        </w:tc>
        <w:tc>
          <w:tcPr>
            <w:tcW w:w="202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站经理</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15180166013</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40"/>
              <w:spacing w:line="240" w:lineRule="auto"/>
              <w:ind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color w:val="000000" w:themeColor="text1"/>
                <w:spacing w:val="4"/>
                <w:sz w:val="21"/>
                <w:szCs w:val="21"/>
                <w:lang w:val="en-US" w:eastAsia="zh-CN"/>
              </w:rPr>
              <w:t>医疗救护与善后处理队</w:t>
            </w:r>
          </w:p>
        </w:tc>
        <w:tc>
          <w:tcPr>
            <w:tcW w:w="131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陈和川</w:t>
            </w:r>
          </w:p>
        </w:tc>
        <w:tc>
          <w:tcPr>
            <w:tcW w:w="2023" w:type="dxa"/>
            <w:tcBorders>
              <w:tl2br w:val="nil"/>
              <w:tr2bl w:val="nil"/>
            </w:tcBorders>
            <w:vAlign w:val="center"/>
          </w:tcPr>
          <w:p>
            <w:pPr>
              <w:pStyle w:val="40"/>
              <w:spacing w:line="240" w:lineRule="auto"/>
              <w:ind w:firstLine="0" w:firstLineChars="0"/>
              <w:jc w:val="center"/>
              <w:rPr>
                <w:rStyle w:val="39"/>
                <w:rFonts w:hint="eastAsia" w:asciiTheme="minorEastAsia" w:hAnsiTheme="minorEastAsia" w:eastAsiaTheme="minorEastAsia" w:cstheme="minorEastAsia"/>
                <w:color w:val="000000" w:themeColor="text1"/>
                <w:spacing w:val="4"/>
                <w:sz w:val="21"/>
                <w:szCs w:val="21"/>
              </w:rPr>
            </w:pPr>
            <w:r>
              <w:rPr>
                <w:rStyle w:val="39"/>
                <w:rFonts w:hint="eastAsia" w:asciiTheme="minorEastAsia" w:hAnsiTheme="minorEastAsia" w:eastAsiaTheme="minorEastAsia" w:cstheme="minorEastAsia"/>
                <w:spacing w:val="4"/>
                <w:sz w:val="21"/>
                <w:szCs w:val="21"/>
              </w:rPr>
              <w:t>前庭主管</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18720070872</w:t>
            </w:r>
          </w:p>
        </w:tc>
      </w:tr>
    </w:tbl>
    <w:p>
      <w:pPr>
        <w:ind w:firstLine="361" w:firstLineChars="150"/>
        <w:jc w:val="left"/>
        <w:rPr>
          <w:b/>
          <w:sz w:val="24"/>
        </w:rPr>
      </w:pPr>
    </w:p>
    <w:p>
      <w:pPr>
        <w:jc w:val="left"/>
        <w:rPr>
          <w:b/>
          <w:sz w:val="24"/>
        </w:rPr>
      </w:pPr>
      <w:r>
        <w:rPr>
          <w:b/>
          <w:sz w:val="24"/>
        </w:rPr>
        <w:t>外部救援通讯方式</w:t>
      </w:r>
    </w:p>
    <w:tbl>
      <w:tblPr>
        <w:tblStyle w:val="14"/>
        <w:tblW w:w="8777" w:type="dxa"/>
        <w:tblInd w:w="0"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0" w:type="dxa"/>
          <w:bottom w:w="0" w:type="dxa"/>
          <w:right w:w="0" w:type="dxa"/>
        </w:tblCellMar>
      </w:tblPr>
      <w:tblGrid>
        <w:gridCol w:w="499"/>
        <w:gridCol w:w="3747"/>
        <w:gridCol w:w="945"/>
        <w:gridCol w:w="2347"/>
        <w:gridCol w:w="1239"/>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33" w:hRule="atLeast"/>
        </w:trPr>
        <w:tc>
          <w:tcPr>
            <w:tcW w:w="499" w:type="dxa"/>
            <w:tcBorders>
              <w:tl2br w:val="nil"/>
              <w:tr2bl w:val="nil"/>
            </w:tcBorders>
            <w:vAlign w:val="center"/>
          </w:tcPr>
          <w:p>
            <w:pPr>
              <w:ind w:firstLineChars="0"/>
              <w:jc w:val="center"/>
              <w:rPr>
                <w:rStyle w:val="39"/>
                <w:rFonts w:hint="eastAsia" w:asciiTheme="minorEastAsia" w:hAnsiTheme="minorEastAsia" w:eastAsiaTheme="minorEastAsia" w:cstheme="minorEastAsia"/>
                <w:b/>
                <w:bCs/>
                <w:color w:val="auto"/>
                <w:kern w:val="0"/>
                <w:sz w:val="21"/>
                <w:szCs w:val="21"/>
              </w:rPr>
            </w:pPr>
            <w:r>
              <w:rPr>
                <w:rStyle w:val="39"/>
                <w:rFonts w:hint="eastAsia" w:asciiTheme="minorEastAsia" w:hAnsiTheme="minorEastAsia" w:eastAsiaTheme="minorEastAsia" w:cstheme="minorEastAsia"/>
                <w:b/>
                <w:bCs/>
                <w:color w:val="auto"/>
                <w:kern w:val="0"/>
                <w:sz w:val="21"/>
                <w:szCs w:val="21"/>
              </w:rPr>
              <w:t>序号</w:t>
            </w:r>
          </w:p>
        </w:tc>
        <w:tc>
          <w:tcPr>
            <w:tcW w:w="3747" w:type="dxa"/>
            <w:tcBorders>
              <w:tl2br w:val="nil"/>
              <w:tr2bl w:val="nil"/>
            </w:tcBorders>
            <w:vAlign w:val="center"/>
          </w:tcPr>
          <w:p>
            <w:pPr>
              <w:ind w:firstLineChars="0"/>
              <w:jc w:val="center"/>
              <w:rPr>
                <w:rStyle w:val="39"/>
                <w:rFonts w:hint="eastAsia" w:asciiTheme="minorEastAsia" w:hAnsiTheme="minorEastAsia" w:eastAsiaTheme="minorEastAsia" w:cstheme="minorEastAsia"/>
                <w:b/>
                <w:bCs/>
                <w:color w:val="auto"/>
                <w:kern w:val="0"/>
                <w:sz w:val="21"/>
                <w:szCs w:val="21"/>
              </w:rPr>
            </w:pPr>
            <w:r>
              <w:rPr>
                <w:rStyle w:val="39"/>
                <w:rFonts w:hint="eastAsia" w:asciiTheme="minorEastAsia" w:hAnsiTheme="minorEastAsia" w:eastAsiaTheme="minorEastAsia" w:cstheme="minorEastAsia"/>
                <w:b/>
                <w:bCs/>
                <w:color w:val="auto"/>
                <w:kern w:val="0"/>
                <w:sz w:val="21"/>
                <w:szCs w:val="21"/>
              </w:rPr>
              <w:t>部门/职务</w:t>
            </w:r>
          </w:p>
        </w:tc>
        <w:tc>
          <w:tcPr>
            <w:tcW w:w="945" w:type="dxa"/>
            <w:tcBorders>
              <w:tl2br w:val="nil"/>
              <w:tr2bl w:val="nil"/>
            </w:tcBorders>
            <w:vAlign w:val="center"/>
          </w:tcPr>
          <w:p>
            <w:pPr>
              <w:ind w:firstLineChars="0"/>
              <w:jc w:val="center"/>
              <w:rPr>
                <w:rStyle w:val="39"/>
                <w:rFonts w:hint="eastAsia" w:asciiTheme="minorEastAsia" w:hAnsiTheme="minorEastAsia" w:eastAsiaTheme="minorEastAsia" w:cstheme="minorEastAsia"/>
                <w:b/>
                <w:bCs/>
                <w:color w:val="auto"/>
                <w:kern w:val="0"/>
                <w:sz w:val="21"/>
                <w:szCs w:val="21"/>
              </w:rPr>
            </w:pPr>
            <w:r>
              <w:rPr>
                <w:rStyle w:val="39"/>
                <w:rFonts w:hint="eastAsia" w:asciiTheme="minorEastAsia" w:hAnsiTheme="minorEastAsia" w:eastAsiaTheme="minorEastAsia" w:cstheme="minorEastAsia"/>
                <w:b/>
                <w:bCs/>
                <w:color w:val="auto"/>
                <w:kern w:val="0"/>
                <w:sz w:val="21"/>
                <w:szCs w:val="21"/>
              </w:rPr>
              <w:t>联系人</w:t>
            </w:r>
          </w:p>
        </w:tc>
        <w:tc>
          <w:tcPr>
            <w:tcW w:w="2347" w:type="dxa"/>
            <w:tcBorders>
              <w:tl2br w:val="nil"/>
              <w:tr2bl w:val="nil"/>
            </w:tcBorders>
            <w:vAlign w:val="center"/>
          </w:tcPr>
          <w:p>
            <w:pPr>
              <w:ind w:firstLineChars="0"/>
              <w:jc w:val="center"/>
              <w:rPr>
                <w:rStyle w:val="39"/>
                <w:rFonts w:hint="eastAsia" w:asciiTheme="minorEastAsia" w:hAnsiTheme="minorEastAsia" w:eastAsiaTheme="minorEastAsia" w:cstheme="minorEastAsia"/>
                <w:b/>
                <w:bCs/>
                <w:color w:val="auto"/>
                <w:kern w:val="0"/>
                <w:sz w:val="21"/>
                <w:szCs w:val="21"/>
              </w:rPr>
            </w:pPr>
            <w:r>
              <w:rPr>
                <w:rStyle w:val="39"/>
                <w:rFonts w:hint="eastAsia" w:asciiTheme="minorEastAsia" w:hAnsiTheme="minorEastAsia" w:eastAsiaTheme="minorEastAsia" w:cstheme="minorEastAsia"/>
                <w:b/>
                <w:bCs/>
                <w:color w:val="auto"/>
                <w:kern w:val="0"/>
                <w:sz w:val="21"/>
                <w:szCs w:val="21"/>
              </w:rPr>
              <w:t>联系电话</w:t>
            </w:r>
          </w:p>
        </w:tc>
        <w:tc>
          <w:tcPr>
            <w:tcW w:w="1239" w:type="dxa"/>
            <w:tcBorders>
              <w:tl2br w:val="nil"/>
              <w:tr2bl w:val="nil"/>
            </w:tcBorders>
            <w:vAlign w:val="center"/>
          </w:tcPr>
          <w:p>
            <w:pPr>
              <w:ind w:firstLineChars="0"/>
              <w:jc w:val="center"/>
              <w:rPr>
                <w:rStyle w:val="39"/>
                <w:rFonts w:hint="eastAsia" w:asciiTheme="minorEastAsia" w:hAnsiTheme="minorEastAsia" w:eastAsiaTheme="minorEastAsia" w:cstheme="minorEastAsia"/>
                <w:b/>
                <w:bCs/>
                <w:color w:val="auto"/>
                <w:kern w:val="0"/>
                <w:sz w:val="21"/>
                <w:szCs w:val="21"/>
              </w:rPr>
            </w:pPr>
            <w:r>
              <w:rPr>
                <w:rStyle w:val="39"/>
                <w:rFonts w:hint="eastAsia" w:asciiTheme="minorEastAsia" w:hAnsiTheme="minorEastAsia" w:eastAsiaTheme="minorEastAsia" w:cstheme="minorEastAsia"/>
                <w:b/>
                <w:bCs/>
                <w:color w:val="auto"/>
                <w:kern w:val="0"/>
                <w:sz w:val="21"/>
                <w:szCs w:val="21"/>
              </w:rPr>
              <w:t>备注</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23" w:hRule="atLeast"/>
        </w:trPr>
        <w:tc>
          <w:tcPr>
            <w:tcW w:w="49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kern w:val="0"/>
                <w:sz w:val="21"/>
                <w:szCs w:val="21"/>
              </w:rPr>
            </w:pPr>
            <w:r>
              <w:rPr>
                <w:rStyle w:val="39"/>
                <w:rFonts w:hint="eastAsia" w:asciiTheme="minorEastAsia" w:hAnsiTheme="minorEastAsia" w:eastAsiaTheme="minorEastAsia" w:cstheme="minorEastAsia"/>
                <w:color w:val="auto"/>
                <w:kern w:val="0"/>
                <w:sz w:val="21"/>
                <w:szCs w:val="21"/>
              </w:rPr>
              <w:t>1</w:t>
            </w:r>
          </w:p>
        </w:tc>
        <w:tc>
          <w:tcPr>
            <w:tcW w:w="3747"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南昌市（县）安全生产应急指挥中心</w:t>
            </w:r>
          </w:p>
        </w:tc>
        <w:tc>
          <w:tcPr>
            <w:tcW w:w="945" w:type="dxa"/>
            <w:tcBorders>
              <w:tl2br w:val="nil"/>
              <w:tr2bl w:val="nil"/>
            </w:tcBorders>
            <w:vAlign w:val="center"/>
          </w:tcPr>
          <w:p>
            <w:pPr>
              <w:pStyle w:val="41"/>
              <w:spacing w:line="240" w:lineRule="auto"/>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金雯婷</w:t>
            </w:r>
          </w:p>
        </w:tc>
        <w:tc>
          <w:tcPr>
            <w:tcW w:w="2347" w:type="dxa"/>
            <w:tcBorders>
              <w:tl2br w:val="nil"/>
              <w:tr2bl w:val="nil"/>
            </w:tcBorders>
            <w:vAlign w:val="center"/>
          </w:tcPr>
          <w:p>
            <w:pPr>
              <w:ind w:firstLineChars="0"/>
              <w:jc w:val="center"/>
              <w:rPr>
                <w:rStyle w:val="39"/>
                <w:rFonts w:hint="default" w:ascii="Times New Roman" w:hAnsi="Times New Roman" w:cs="Times New Roman" w:eastAsiaTheme="minorEastAsia"/>
                <w:color w:val="auto"/>
                <w:sz w:val="21"/>
                <w:szCs w:val="21"/>
              </w:rPr>
            </w:pPr>
            <w:r>
              <w:rPr>
                <w:rStyle w:val="39"/>
                <w:rFonts w:hint="default" w:ascii="Times New Roman" w:hAnsi="Times New Roman" w:cs="Times New Roman" w:eastAsiaTheme="minorEastAsia"/>
                <w:color w:val="auto"/>
                <w:sz w:val="21"/>
                <w:szCs w:val="21"/>
              </w:rPr>
              <w:t>87830820</w:t>
            </w:r>
          </w:p>
        </w:tc>
        <w:tc>
          <w:tcPr>
            <w:tcW w:w="123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23" w:hRule="atLeast"/>
        </w:trPr>
        <w:tc>
          <w:tcPr>
            <w:tcW w:w="49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kern w:val="0"/>
                <w:sz w:val="21"/>
                <w:szCs w:val="21"/>
              </w:rPr>
            </w:pPr>
            <w:r>
              <w:rPr>
                <w:rStyle w:val="39"/>
                <w:rFonts w:hint="eastAsia" w:asciiTheme="minorEastAsia" w:hAnsiTheme="minorEastAsia" w:eastAsiaTheme="minorEastAsia" w:cstheme="minorEastAsia"/>
                <w:color w:val="auto"/>
                <w:kern w:val="0"/>
                <w:sz w:val="21"/>
                <w:szCs w:val="21"/>
              </w:rPr>
              <w:t>2</w:t>
            </w:r>
          </w:p>
        </w:tc>
        <w:tc>
          <w:tcPr>
            <w:tcW w:w="3747"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南昌市（县）应急救援中心</w:t>
            </w:r>
          </w:p>
        </w:tc>
        <w:tc>
          <w:tcPr>
            <w:tcW w:w="945"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戴晓望</w:t>
            </w:r>
          </w:p>
        </w:tc>
        <w:tc>
          <w:tcPr>
            <w:tcW w:w="2347" w:type="dxa"/>
            <w:tcBorders>
              <w:tl2br w:val="nil"/>
              <w:tr2bl w:val="nil"/>
            </w:tcBorders>
            <w:vAlign w:val="center"/>
          </w:tcPr>
          <w:p>
            <w:pPr>
              <w:ind w:firstLineChars="0"/>
              <w:jc w:val="center"/>
              <w:rPr>
                <w:rStyle w:val="39"/>
                <w:rFonts w:hint="default" w:ascii="Times New Roman" w:hAnsi="Times New Roman" w:cs="Times New Roman" w:eastAsiaTheme="minorEastAsia"/>
                <w:color w:val="auto"/>
                <w:sz w:val="21"/>
                <w:szCs w:val="21"/>
              </w:rPr>
            </w:pPr>
            <w:r>
              <w:rPr>
                <w:rStyle w:val="39"/>
                <w:rFonts w:hint="default" w:ascii="Times New Roman" w:hAnsi="Times New Roman" w:cs="Times New Roman" w:eastAsiaTheme="minorEastAsia"/>
                <w:color w:val="auto"/>
                <w:sz w:val="21"/>
                <w:szCs w:val="21"/>
              </w:rPr>
              <w:t>83986153</w:t>
            </w:r>
          </w:p>
        </w:tc>
        <w:tc>
          <w:tcPr>
            <w:tcW w:w="123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23" w:hRule="atLeast"/>
        </w:trPr>
        <w:tc>
          <w:tcPr>
            <w:tcW w:w="49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kern w:val="0"/>
                <w:sz w:val="21"/>
                <w:szCs w:val="21"/>
              </w:rPr>
            </w:pPr>
            <w:r>
              <w:rPr>
                <w:rStyle w:val="39"/>
                <w:rFonts w:hint="eastAsia" w:asciiTheme="minorEastAsia" w:hAnsiTheme="minorEastAsia" w:eastAsiaTheme="minorEastAsia" w:cstheme="minorEastAsia"/>
                <w:color w:val="auto"/>
                <w:kern w:val="0"/>
                <w:sz w:val="21"/>
                <w:szCs w:val="21"/>
              </w:rPr>
              <w:t>3</w:t>
            </w:r>
          </w:p>
        </w:tc>
        <w:tc>
          <w:tcPr>
            <w:tcW w:w="3747"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南昌市（县）安监局副局长</w:t>
            </w:r>
          </w:p>
        </w:tc>
        <w:tc>
          <w:tcPr>
            <w:tcW w:w="945"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万平</w:t>
            </w:r>
          </w:p>
        </w:tc>
        <w:tc>
          <w:tcPr>
            <w:tcW w:w="2347" w:type="dxa"/>
            <w:tcBorders>
              <w:tl2br w:val="nil"/>
              <w:tr2bl w:val="nil"/>
            </w:tcBorders>
            <w:vAlign w:val="center"/>
          </w:tcPr>
          <w:p>
            <w:pPr>
              <w:ind w:firstLineChars="0"/>
              <w:jc w:val="center"/>
              <w:rPr>
                <w:rStyle w:val="39"/>
                <w:rFonts w:hint="default" w:ascii="Times New Roman" w:hAnsi="Times New Roman" w:cs="Times New Roman" w:eastAsiaTheme="minorEastAsia"/>
                <w:color w:val="auto"/>
                <w:sz w:val="21"/>
                <w:szCs w:val="21"/>
              </w:rPr>
            </w:pPr>
            <w:r>
              <w:rPr>
                <w:rStyle w:val="39"/>
                <w:rFonts w:hint="default" w:ascii="Times New Roman" w:hAnsi="Times New Roman" w:cs="Times New Roman" w:eastAsiaTheme="minorEastAsia"/>
                <w:color w:val="auto"/>
                <w:sz w:val="21"/>
                <w:szCs w:val="21"/>
              </w:rPr>
              <w:t>13507093311</w:t>
            </w:r>
          </w:p>
        </w:tc>
        <w:tc>
          <w:tcPr>
            <w:tcW w:w="123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23" w:hRule="atLeast"/>
        </w:trPr>
        <w:tc>
          <w:tcPr>
            <w:tcW w:w="49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kern w:val="0"/>
                <w:sz w:val="21"/>
                <w:szCs w:val="21"/>
              </w:rPr>
            </w:pPr>
            <w:r>
              <w:rPr>
                <w:rStyle w:val="39"/>
                <w:rFonts w:hint="eastAsia" w:asciiTheme="minorEastAsia" w:hAnsiTheme="minorEastAsia" w:eastAsiaTheme="minorEastAsia" w:cstheme="minorEastAsia"/>
                <w:color w:val="auto"/>
                <w:kern w:val="0"/>
                <w:sz w:val="21"/>
                <w:szCs w:val="21"/>
              </w:rPr>
              <w:t>4</w:t>
            </w:r>
          </w:p>
        </w:tc>
        <w:tc>
          <w:tcPr>
            <w:tcW w:w="3747"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南昌市（县）职业健康副局长</w:t>
            </w:r>
          </w:p>
        </w:tc>
        <w:tc>
          <w:tcPr>
            <w:tcW w:w="945"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卢瑾萍</w:t>
            </w:r>
          </w:p>
        </w:tc>
        <w:tc>
          <w:tcPr>
            <w:tcW w:w="2347" w:type="dxa"/>
            <w:tcBorders>
              <w:tl2br w:val="nil"/>
              <w:tr2bl w:val="nil"/>
            </w:tcBorders>
            <w:vAlign w:val="center"/>
          </w:tcPr>
          <w:p>
            <w:pPr>
              <w:ind w:firstLineChars="0"/>
              <w:jc w:val="center"/>
              <w:rPr>
                <w:rStyle w:val="39"/>
                <w:rFonts w:hint="default" w:ascii="Times New Roman" w:hAnsi="Times New Roman" w:cs="Times New Roman" w:eastAsiaTheme="minorEastAsia"/>
                <w:color w:val="auto"/>
                <w:sz w:val="21"/>
                <w:szCs w:val="21"/>
              </w:rPr>
            </w:pPr>
            <w:r>
              <w:rPr>
                <w:rStyle w:val="39"/>
                <w:rFonts w:hint="default" w:ascii="Times New Roman" w:hAnsi="Times New Roman" w:cs="Times New Roman" w:eastAsiaTheme="minorEastAsia"/>
                <w:color w:val="auto"/>
                <w:sz w:val="21"/>
                <w:szCs w:val="21"/>
              </w:rPr>
              <w:t>18079133835</w:t>
            </w:r>
          </w:p>
        </w:tc>
        <w:tc>
          <w:tcPr>
            <w:tcW w:w="123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23" w:hRule="atLeast"/>
        </w:trPr>
        <w:tc>
          <w:tcPr>
            <w:tcW w:w="49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kern w:val="0"/>
                <w:sz w:val="21"/>
                <w:szCs w:val="21"/>
              </w:rPr>
            </w:pPr>
            <w:r>
              <w:rPr>
                <w:rStyle w:val="39"/>
                <w:rFonts w:hint="eastAsia" w:asciiTheme="minorEastAsia" w:hAnsiTheme="minorEastAsia" w:eastAsiaTheme="minorEastAsia" w:cstheme="minorEastAsia"/>
                <w:color w:val="auto"/>
                <w:kern w:val="0"/>
                <w:sz w:val="21"/>
                <w:szCs w:val="21"/>
              </w:rPr>
              <w:t>5</w:t>
            </w:r>
          </w:p>
        </w:tc>
        <w:tc>
          <w:tcPr>
            <w:tcW w:w="3747"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南昌市（县）安监局办公室</w:t>
            </w:r>
          </w:p>
        </w:tc>
        <w:tc>
          <w:tcPr>
            <w:tcW w:w="945"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p>
        </w:tc>
        <w:tc>
          <w:tcPr>
            <w:tcW w:w="2347" w:type="dxa"/>
            <w:tcBorders>
              <w:tl2br w:val="nil"/>
              <w:tr2bl w:val="nil"/>
            </w:tcBorders>
            <w:vAlign w:val="center"/>
          </w:tcPr>
          <w:p>
            <w:pPr>
              <w:ind w:firstLineChars="0"/>
              <w:jc w:val="center"/>
              <w:rPr>
                <w:rStyle w:val="39"/>
                <w:rFonts w:hint="default" w:ascii="Times New Roman" w:hAnsi="Times New Roman" w:cs="Times New Roman" w:eastAsiaTheme="minorEastAsia"/>
                <w:color w:val="auto"/>
                <w:sz w:val="21"/>
                <w:szCs w:val="21"/>
              </w:rPr>
            </w:pPr>
            <w:r>
              <w:rPr>
                <w:rStyle w:val="39"/>
                <w:rFonts w:hint="default" w:ascii="Times New Roman" w:hAnsi="Times New Roman" w:cs="Times New Roman" w:eastAsiaTheme="minorEastAsia"/>
                <w:color w:val="auto"/>
                <w:sz w:val="21"/>
                <w:szCs w:val="21"/>
              </w:rPr>
              <w:t>13732935436/83986158</w:t>
            </w:r>
          </w:p>
        </w:tc>
        <w:tc>
          <w:tcPr>
            <w:tcW w:w="123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23" w:hRule="atLeast"/>
        </w:trPr>
        <w:tc>
          <w:tcPr>
            <w:tcW w:w="49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kern w:val="0"/>
                <w:sz w:val="21"/>
                <w:szCs w:val="21"/>
              </w:rPr>
            </w:pPr>
            <w:r>
              <w:rPr>
                <w:rStyle w:val="39"/>
                <w:rFonts w:hint="eastAsia" w:asciiTheme="minorEastAsia" w:hAnsiTheme="minorEastAsia" w:eastAsiaTheme="minorEastAsia" w:cstheme="minorEastAsia"/>
                <w:color w:val="auto"/>
                <w:kern w:val="0"/>
                <w:sz w:val="21"/>
                <w:szCs w:val="21"/>
              </w:rPr>
              <w:t>6</w:t>
            </w:r>
          </w:p>
        </w:tc>
        <w:tc>
          <w:tcPr>
            <w:tcW w:w="3747"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南昌市（县）安监局执法大队长</w:t>
            </w:r>
          </w:p>
        </w:tc>
        <w:tc>
          <w:tcPr>
            <w:tcW w:w="945"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p>
        </w:tc>
        <w:tc>
          <w:tcPr>
            <w:tcW w:w="2347" w:type="dxa"/>
            <w:tcBorders>
              <w:tl2br w:val="nil"/>
              <w:tr2bl w:val="nil"/>
            </w:tcBorders>
            <w:vAlign w:val="center"/>
          </w:tcPr>
          <w:p>
            <w:pPr>
              <w:ind w:firstLineChars="0"/>
              <w:jc w:val="center"/>
              <w:rPr>
                <w:rStyle w:val="39"/>
                <w:rFonts w:hint="default" w:ascii="Times New Roman" w:hAnsi="Times New Roman" w:cs="Times New Roman" w:eastAsiaTheme="minorEastAsia"/>
                <w:color w:val="auto"/>
                <w:sz w:val="21"/>
                <w:szCs w:val="21"/>
              </w:rPr>
            </w:pPr>
            <w:r>
              <w:rPr>
                <w:rStyle w:val="39"/>
                <w:rFonts w:hint="default" w:ascii="Times New Roman" w:hAnsi="Times New Roman" w:cs="Times New Roman" w:eastAsiaTheme="minorEastAsia"/>
                <w:color w:val="auto"/>
                <w:sz w:val="21"/>
                <w:szCs w:val="21"/>
              </w:rPr>
              <w:t>83839641</w:t>
            </w:r>
          </w:p>
        </w:tc>
        <w:tc>
          <w:tcPr>
            <w:tcW w:w="123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23" w:hRule="atLeast"/>
        </w:trPr>
        <w:tc>
          <w:tcPr>
            <w:tcW w:w="49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kern w:val="0"/>
                <w:sz w:val="21"/>
                <w:szCs w:val="21"/>
              </w:rPr>
            </w:pPr>
            <w:r>
              <w:rPr>
                <w:rStyle w:val="39"/>
                <w:rFonts w:hint="eastAsia" w:asciiTheme="minorEastAsia" w:hAnsiTheme="minorEastAsia" w:eastAsiaTheme="minorEastAsia" w:cstheme="minorEastAsia"/>
                <w:color w:val="auto"/>
                <w:kern w:val="0"/>
                <w:sz w:val="21"/>
                <w:szCs w:val="21"/>
              </w:rPr>
              <w:t>7</w:t>
            </w:r>
          </w:p>
        </w:tc>
        <w:tc>
          <w:tcPr>
            <w:tcW w:w="3747" w:type="dxa"/>
            <w:tcBorders>
              <w:tl2br w:val="nil"/>
              <w:tr2bl w:val="nil"/>
            </w:tcBorders>
            <w:vAlign w:val="bottom"/>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南昌市（县）消防大队大队长</w:t>
            </w:r>
          </w:p>
        </w:tc>
        <w:tc>
          <w:tcPr>
            <w:tcW w:w="945" w:type="dxa"/>
            <w:tcBorders>
              <w:tl2br w:val="nil"/>
              <w:tr2bl w:val="nil"/>
            </w:tcBorders>
            <w:vAlign w:val="bottom"/>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陈峰</w:t>
            </w:r>
          </w:p>
        </w:tc>
        <w:tc>
          <w:tcPr>
            <w:tcW w:w="2347" w:type="dxa"/>
            <w:tcBorders>
              <w:tl2br w:val="nil"/>
              <w:tr2bl w:val="nil"/>
            </w:tcBorders>
            <w:vAlign w:val="bottom"/>
          </w:tcPr>
          <w:p>
            <w:pPr>
              <w:ind w:firstLineChars="0"/>
              <w:jc w:val="center"/>
              <w:rPr>
                <w:rStyle w:val="39"/>
                <w:rFonts w:hint="default" w:ascii="Times New Roman" w:hAnsi="Times New Roman" w:cs="Times New Roman" w:eastAsiaTheme="minorEastAsia"/>
                <w:color w:val="auto"/>
                <w:sz w:val="21"/>
                <w:szCs w:val="21"/>
              </w:rPr>
            </w:pPr>
            <w:r>
              <w:rPr>
                <w:rStyle w:val="39"/>
                <w:rFonts w:hint="default" w:ascii="Times New Roman" w:hAnsi="Times New Roman" w:cs="Times New Roman" w:eastAsiaTheme="minorEastAsia"/>
                <w:color w:val="auto"/>
                <w:sz w:val="21"/>
                <w:szCs w:val="21"/>
              </w:rPr>
              <w:t>18970016631</w:t>
            </w:r>
          </w:p>
        </w:tc>
        <w:tc>
          <w:tcPr>
            <w:tcW w:w="123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23" w:hRule="atLeast"/>
        </w:trPr>
        <w:tc>
          <w:tcPr>
            <w:tcW w:w="499" w:type="dxa"/>
            <w:tcBorders>
              <w:tl2br w:val="nil"/>
              <w:tr2bl w:val="nil"/>
            </w:tcBorders>
            <w:vAlign w:val="center"/>
          </w:tcPr>
          <w:p>
            <w:pPr>
              <w:ind w:firstLine="0" w:firstLineChars="0"/>
              <w:jc w:val="center"/>
              <w:rPr>
                <w:rStyle w:val="39"/>
                <w:rFonts w:hint="eastAsia" w:asciiTheme="minorEastAsia" w:hAnsiTheme="minorEastAsia" w:eastAsiaTheme="minorEastAsia" w:cstheme="minorEastAsia"/>
                <w:color w:val="auto"/>
                <w:kern w:val="0"/>
                <w:sz w:val="21"/>
                <w:szCs w:val="21"/>
              </w:rPr>
            </w:pPr>
            <w:r>
              <w:rPr>
                <w:rStyle w:val="39"/>
                <w:rFonts w:hint="eastAsia" w:asciiTheme="minorEastAsia" w:hAnsiTheme="minorEastAsia" w:cstheme="minorEastAsia"/>
                <w:color w:val="FF0000"/>
                <w:kern w:val="0"/>
                <w:sz w:val="21"/>
                <w:szCs w:val="21"/>
                <w:lang w:val="en-US" w:eastAsia="zh-CN"/>
              </w:rPr>
              <w:t>8</w:t>
            </w:r>
          </w:p>
        </w:tc>
        <w:tc>
          <w:tcPr>
            <w:tcW w:w="3747" w:type="dxa"/>
            <w:tcBorders>
              <w:tl2br w:val="nil"/>
              <w:tr2bl w:val="nil"/>
            </w:tcBorders>
            <w:vAlign w:val="bottom"/>
          </w:tcPr>
          <w:p>
            <w:pPr>
              <w:ind w:firstLine="0"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cstheme="minorEastAsia"/>
                <w:color w:val="FF0000"/>
                <w:sz w:val="21"/>
                <w:szCs w:val="21"/>
                <w:lang w:val="en-US" w:eastAsia="zh-CN"/>
              </w:rPr>
              <w:t>南昌市新建区人民政府办公室</w:t>
            </w:r>
          </w:p>
        </w:tc>
        <w:tc>
          <w:tcPr>
            <w:tcW w:w="945" w:type="dxa"/>
            <w:tcBorders>
              <w:tl2br w:val="nil"/>
              <w:tr2bl w:val="nil"/>
            </w:tcBorders>
            <w:vAlign w:val="bottom"/>
          </w:tcPr>
          <w:p>
            <w:pPr>
              <w:ind w:firstLine="0"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cstheme="minorEastAsia"/>
                <w:color w:val="FF0000"/>
                <w:sz w:val="21"/>
                <w:szCs w:val="21"/>
                <w:lang w:val="en-US" w:eastAsia="zh-CN"/>
              </w:rPr>
              <w:t>/</w:t>
            </w:r>
          </w:p>
        </w:tc>
        <w:tc>
          <w:tcPr>
            <w:tcW w:w="2347" w:type="dxa"/>
            <w:tcBorders>
              <w:tl2br w:val="nil"/>
              <w:tr2bl w:val="nil"/>
            </w:tcBorders>
            <w:vAlign w:val="bottom"/>
          </w:tcPr>
          <w:p>
            <w:pPr>
              <w:ind w:firstLine="0" w:firstLineChars="0"/>
              <w:jc w:val="center"/>
              <w:rPr>
                <w:rStyle w:val="39"/>
                <w:rFonts w:hint="default" w:ascii="Times New Roman" w:hAnsi="Times New Roman" w:cs="Times New Roman" w:eastAsiaTheme="minorEastAsia"/>
                <w:color w:val="auto"/>
                <w:sz w:val="21"/>
                <w:szCs w:val="21"/>
              </w:rPr>
            </w:pPr>
            <w:r>
              <w:rPr>
                <w:rFonts w:ascii="Arial" w:hAnsi="Arial" w:eastAsia="宋体" w:cs="Arial"/>
                <w:i w:val="0"/>
                <w:caps w:val="0"/>
                <w:color w:val="FF0000"/>
                <w:spacing w:val="0"/>
                <w:sz w:val="15"/>
                <w:szCs w:val="15"/>
                <w:shd w:val="clear" w:fill="FFFFFF"/>
              </w:rPr>
              <w:t>:</w:t>
            </w:r>
            <w:r>
              <w:rPr>
                <w:rStyle w:val="39"/>
                <w:rFonts w:hint="default" w:ascii="Times New Roman" w:hAnsi="Times New Roman" w:cs="Times New Roman" w:eastAsiaTheme="minorEastAsia"/>
                <w:color w:val="FF0000"/>
                <w:sz w:val="21"/>
                <w:szCs w:val="21"/>
              </w:rPr>
              <w:t>0791-83702579</w:t>
            </w:r>
          </w:p>
        </w:tc>
        <w:tc>
          <w:tcPr>
            <w:tcW w:w="1239" w:type="dxa"/>
            <w:tcBorders>
              <w:tl2br w:val="nil"/>
              <w:tr2bl w:val="nil"/>
            </w:tcBorders>
            <w:vAlign w:val="center"/>
          </w:tcPr>
          <w:p>
            <w:pPr>
              <w:ind w:firstLine="0" w:firstLineChars="0"/>
              <w:jc w:val="center"/>
              <w:rPr>
                <w:rStyle w:val="39"/>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23" w:hRule="atLeast"/>
        </w:trPr>
        <w:tc>
          <w:tcPr>
            <w:tcW w:w="49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kern w:val="0"/>
                <w:sz w:val="21"/>
                <w:szCs w:val="21"/>
                <w:lang w:eastAsia="zh-CN"/>
              </w:rPr>
            </w:pPr>
            <w:r>
              <w:rPr>
                <w:rStyle w:val="39"/>
                <w:rFonts w:hint="eastAsia" w:asciiTheme="minorEastAsia" w:hAnsiTheme="minorEastAsia" w:eastAsiaTheme="minorEastAsia" w:cstheme="minorEastAsia"/>
                <w:color w:val="auto"/>
                <w:kern w:val="0"/>
                <w:sz w:val="21"/>
                <w:szCs w:val="21"/>
                <w:lang w:val="en-US" w:eastAsia="zh-CN"/>
              </w:rPr>
              <w:t>9</w:t>
            </w:r>
          </w:p>
        </w:tc>
        <w:tc>
          <w:tcPr>
            <w:tcW w:w="3747"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消防火灾报警电话</w:t>
            </w:r>
          </w:p>
        </w:tc>
        <w:tc>
          <w:tcPr>
            <w:tcW w:w="945"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w:t>
            </w:r>
          </w:p>
        </w:tc>
        <w:tc>
          <w:tcPr>
            <w:tcW w:w="2347" w:type="dxa"/>
            <w:tcBorders>
              <w:tl2br w:val="nil"/>
              <w:tr2bl w:val="nil"/>
            </w:tcBorders>
            <w:vAlign w:val="center"/>
          </w:tcPr>
          <w:p>
            <w:pPr>
              <w:ind w:firstLineChars="0"/>
              <w:jc w:val="center"/>
              <w:rPr>
                <w:rStyle w:val="39"/>
                <w:rFonts w:hint="default" w:ascii="Times New Roman" w:hAnsi="Times New Roman" w:cs="Times New Roman" w:eastAsiaTheme="minorEastAsia"/>
                <w:color w:val="auto"/>
                <w:sz w:val="21"/>
                <w:szCs w:val="21"/>
              </w:rPr>
            </w:pPr>
            <w:r>
              <w:rPr>
                <w:rStyle w:val="39"/>
                <w:rFonts w:hint="default" w:ascii="Times New Roman" w:hAnsi="Times New Roman" w:cs="Times New Roman" w:eastAsiaTheme="minorEastAsia"/>
                <w:color w:val="auto"/>
                <w:sz w:val="21"/>
                <w:szCs w:val="21"/>
              </w:rPr>
              <w:t>119</w:t>
            </w:r>
          </w:p>
        </w:tc>
        <w:tc>
          <w:tcPr>
            <w:tcW w:w="1239" w:type="dxa"/>
            <w:tcBorders>
              <w:tl2br w:val="nil"/>
              <w:tr2bl w:val="nil"/>
            </w:tcBorders>
            <w:vAlign w:val="bottom"/>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　</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23" w:hRule="atLeast"/>
        </w:trPr>
        <w:tc>
          <w:tcPr>
            <w:tcW w:w="499" w:type="dxa"/>
            <w:tcBorders>
              <w:tl2br w:val="nil"/>
              <w:tr2bl w:val="nil"/>
            </w:tcBorders>
            <w:vAlign w:val="center"/>
          </w:tcPr>
          <w:p>
            <w:pPr>
              <w:ind w:firstLineChars="0"/>
              <w:jc w:val="center"/>
              <w:rPr>
                <w:rStyle w:val="39"/>
                <w:rFonts w:hint="default" w:asciiTheme="minorEastAsia" w:hAnsiTheme="minorEastAsia" w:eastAsiaTheme="minorEastAsia" w:cstheme="minorEastAsia"/>
                <w:color w:val="auto"/>
                <w:kern w:val="0"/>
                <w:sz w:val="21"/>
                <w:szCs w:val="21"/>
                <w:lang w:val="en-US" w:eastAsia="zh-CN"/>
              </w:rPr>
            </w:pPr>
            <w:r>
              <w:rPr>
                <w:rStyle w:val="39"/>
                <w:rFonts w:hint="eastAsia" w:asciiTheme="minorEastAsia" w:hAnsiTheme="minorEastAsia" w:eastAsiaTheme="minorEastAsia" w:cstheme="minorEastAsia"/>
                <w:color w:val="auto"/>
                <w:kern w:val="0"/>
                <w:sz w:val="21"/>
                <w:szCs w:val="21"/>
                <w:lang w:val="en-US" w:eastAsia="zh-CN"/>
              </w:rPr>
              <w:t>10</w:t>
            </w:r>
          </w:p>
        </w:tc>
        <w:tc>
          <w:tcPr>
            <w:tcW w:w="3747"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医疗急救电话</w:t>
            </w:r>
          </w:p>
        </w:tc>
        <w:tc>
          <w:tcPr>
            <w:tcW w:w="945"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w:t>
            </w:r>
          </w:p>
        </w:tc>
        <w:tc>
          <w:tcPr>
            <w:tcW w:w="2347" w:type="dxa"/>
            <w:tcBorders>
              <w:tl2br w:val="nil"/>
              <w:tr2bl w:val="nil"/>
            </w:tcBorders>
            <w:vAlign w:val="center"/>
          </w:tcPr>
          <w:p>
            <w:pPr>
              <w:ind w:firstLineChars="0"/>
              <w:jc w:val="center"/>
              <w:rPr>
                <w:rStyle w:val="39"/>
                <w:rFonts w:hint="default" w:ascii="Times New Roman" w:hAnsi="Times New Roman" w:cs="Times New Roman" w:eastAsiaTheme="minorEastAsia"/>
                <w:color w:val="auto"/>
                <w:sz w:val="21"/>
                <w:szCs w:val="21"/>
              </w:rPr>
            </w:pPr>
            <w:r>
              <w:rPr>
                <w:rStyle w:val="39"/>
                <w:rFonts w:hint="default" w:ascii="Times New Roman" w:hAnsi="Times New Roman" w:cs="Times New Roman" w:eastAsiaTheme="minorEastAsia"/>
                <w:color w:val="auto"/>
                <w:sz w:val="21"/>
                <w:szCs w:val="21"/>
              </w:rPr>
              <w:t>120</w:t>
            </w:r>
          </w:p>
        </w:tc>
        <w:tc>
          <w:tcPr>
            <w:tcW w:w="123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　</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52" w:hRule="atLeast"/>
        </w:trPr>
        <w:tc>
          <w:tcPr>
            <w:tcW w:w="499" w:type="dxa"/>
            <w:tcBorders>
              <w:tl2br w:val="nil"/>
              <w:tr2bl w:val="nil"/>
            </w:tcBorders>
            <w:vAlign w:val="center"/>
          </w:tcPr>
          <w:p>
            <w:pPr>
              <w:ind w:firstLineChars="0"/>
              <w:jc w:val="center"/>
              <w:rPr>
                <w:rStyle w:val="39"/>
                <w:rFonts w:hint="default" w:asciiTheme="minorEastAsia" w:hAnsiTheme="minorEastAsia" w:eastAsiaTheme="minorEastAsia" w:cstheme="minorEastAsia"/>
                <w:color w:val="auto"/>
                <w:kern w:val="0"/>
                <w:sz w:val="21"/>
                <w:szCs w:val="21"/>
                <w:lang w:val="en-US" w:eastAsia="zh-CN"/>
              </w:rPr>
            </w:pPr>
            <w:r>
              <w:rPr>
                <w:rStyle w:val="39"/>
                <w:rFonts w:hint="eastAsia" w:asciiTheme="minorEastAsia" w:hAnsiTheme="minorEastAsia" w:eastAsiaTheme="minorEastAsia" w:cstheme="minorEastAsia"/>
                <w:color w:val="auto"/>
                <w:kern w:val="0"/>
                <w:sz w:val="21"/>
                <w:szCs w:val="21"/>
                <w:lang w:val="en-US" w:eastAsia="zh-CN"/>
              </w:rPr>
              <w:t>11</w:t>
            </w:r>
          </w:p>
        </w:tc>
        <w:tc>
          <w:tcPr>
            <w:tcW w:w="3747"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公安报警电话</w:t>
            </w:r>
          </w:p>
        </w:tc>
        <w:tc>
          <w:tcPr>
            <w:tcW w:w="945"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w:t>
            </w:r>
          </w:p>
        </w:tc>
        <w:tc>
          <w:tcPr>
            <w:tcW w:w="2347" w:type="dxa"/>
            <w:tcBorders>
              <w:tl2br w:val="nil"/>
              <w:tr2bl w:val="nil"/>
            </w:tcBorders>
            <w:vAlign w:val="center"/>
          </w:tcPr>
          <w:p>
            <w:pPr>
              <w:ind w:firstLineChars="0"/>
              <w:jc w:val="center"/>
              <w:rPr>
                <w:rStyle w:val="39"/>
                <w:rFonts w:hint="default" w:ascii="Times New Roman" w:hAnsi="Times New Roman" w:cs="Times New Roman" w:eastAsiaTheme="minorEastAsia"/>
                <w:color w:val="auto"/>
                <w:sz w:val="21"/>
                <w:szCs w:val="21"/>
              </w:rPr>
            </w:pPr>
            <w:r>
              <w:rPr>
                <w:rStyle w:val="39"/>
                <w:rFonts w:hint="default" w:ascii="Times New Roman" w:hAnsi="Times New Roman" w:cs="Times New Roman" w:eastAsiaTheme="minorEastAsia"/>
                <w:color w:val="auto"/>
                <w:sz w:val="21"/>
                <w:szCs w:val="21"/>
              </w:rPr>
              <w:t>110</w:t>
            </w:r>
          </w:p>
        </w:tc>
        <w:tc>
          <w:tcPr>
            <w:tcW w:w="1239" w:type="dxa"/>
            <w:tcBorders>
              <w:tl2br w:val="nil"/>
              <w:tr2bl w:val="nil"/>
            </w:tcBorders>
            <w:vAlign w:val="center"/>
          </w:tcPr>
          <w:p>
            <w:pPr>
              <w:ind w:firstLineChars="0"/>
              <w:jc w:val="center"/>
              <w:rPr>
                <w:rStyle w:val="39"/>
                <w:rFonts w:hint="eastAsia" w:asciiTheme="minorEastAsia" w:hAnsiTheme="minorEastAsia" w:eastAsiaTheme="minorEastAsia" w:cstheme="minorEastAsia"/>
                <w:color w:val="auto"/>
                <w:sz w:val="21"/>
                <w:szCs w:val="21"/>
              </w:rPr>
            </w:pPr>
            <w:r>
              <w:rPr>
                <w:rStyle w:val="39"/>
                <w:rFonts w:hint="eastAsia" w:asciiTheme="minorEastAsia" w:hAnsiTheme="minorEastAsia" w:eastAsiaTheme="minorEastAsia" w:cstheme="minorEastAsia"/>
                <w:color w:val="auto"/>
                <w:sz w:val="21"/>
                <w:szCs w:val="21"/>
              </w:rPr>
              <w:t>/　</w:t>
            </w:r>
          </w:p>
        </w:tc>
      </w:tr>
    </w:tbl>
    <w:p>
      <w:pPr>
        <w:jc w:val="left"/>
        <w:rPr>
          <w:b/>
          <w:sz w:val="24"/>
          <w:lang w:val="zh-CN"/>
        </w:rPr>
      </w:pPr>
    </w:p>
    <w:p>
      <w:pPr>
        <w:jc w:val="left"/>
        <w:rPr>
          <w:b/>
          <w:sz w:val="24"/>
        </w:rPr>
      </w:pPr>
      <w:r>
        <w:rPr>
          <w:rFonts w:hint="eastAsia"/>
          <w:b/>
          <w:sz w:val="24"/>
        </w:rPr>
        <w:t>周边通讯方式</w:t>
      </w:r>
    </w:p>
    <w:p>
      <w:pPr>
        <w:spacing w:line="500" w:lineRule="exact"/>
        <w:ind w:firstLine="480" w:firstLineChars="200"/>
        <w:rPr>
          <w:sz w:val="24"/>
        </w:rPr>
      </w:pPr>
      <w:r>
        <w:rPr>
          <w:rFonts w:hint="eastAsia"/>
          <w:sz w:val="24"/>
        </w:rPr>
        <w:t>南昌</w:t>
      </w:r>
      <w:r>
        <w:rPr>
          <w:rFonts w:hint="eastAsia"/>
          <w:sz w:val="24"/>
          <w:lang w:val="en-US" w:eastAsia="zh-CN"/>
        </w:rPr>
        <w:t>市（</w:t>
      </w:r>
      <w:r>
        <w:rPr>
          <w:rFonts w:hint="eastAsia"/>
          <w:sz w:val="24"/>
        </w:rPr>
        <w:t>县</w:t>
      </w:r>
      <w:r>
        <w:rPr>
          <w:rFonts w:hint="eastAsia"/>
          <w:sz w:val="24"/>
          <w:lang w:val="en-US" w:eastAsia="zh-CN"/>
        </w:rPr>
        <w:t>）</w:t>
      </w:r>
      <w:r>
        <w:rPr>
          <w:rFonts w:hint="eastAsia"/>
          <w:sz w:val="24"/>
        </w:rPr>
        <w:t>气象局：0</w:t>
      </w:r>
      <w:r>
        <w:rPr>
          <w:sz w:val="24"/>
        </w:rPr>
        <w:t>791-85705251</w:t>
      </w:r>
    </w:p>
    <w:p>
      <w:pPr>
        <w:spacing w:line="500" w:lineRule="exact"/>
        <w:ind w:firstLine="480" w:firstLineChars="200"/>
        <w:rPr>
          <w:sz w:val="24"/>
        </w:rPr>
      </w:pPr>
      <w:r>
        <w:rPr>
          <w:rFonts w:hint="eastAsia"/>
          <w:sz w:val="24"/>
        </w:rPr>
        <w:t>南昌</w:t>
      </w:r>
      <w:r>
        <w:rPr>
          <w:rFonts w:hint="eastAsia"/>
          <w:sz w:val="24"/>
          <w:lang w:val="en-US" w:eastAsia="zh-CN"/>
        </w:rPr>
        <w:t>市（</w:t>
      </w:r>
      <w:r>
        <w:rPr>
          <w:rFonts w:hint="eastAsia"/>
          <w:sz w:val="24"/>
        </w:rPr>
        <w:t>县</w:t>
      </w:r>
      <w:r>
        <w:rPr>
          <w:rFonts w:hint="eastAsia"/>
          <w:sz w:val="24"/>
          <w:lang w:val="en-US" w:eastAsia="zh-CN"/>
        </w:rPr>
        <w:t>）</w:t>
      </w:r>
      <w:r>
        <w:rPr>
          <w:rFonts w:hint="eastAsia"/>
          <w:sz w:val="24"/>
        </w:rPr>
        <w:t>农机局：0</w:t>
      </w:r>
      <w:r>
        <w:rPr>
          <w:sz w:val="24"/>
        </w:rPr>
        <w:t>791-85712146</w:t>
      </w:r>
    </w:p>
    <w:p>
      <w:pPr>
        <w:spacing w:line="500" w:lineRule="exact"/>
        <w:ind w:firstLine="480" w:firstLineChars="200"/>
      </w:pPr>
      <w:r>
        <w:rPr>
          <w:rFonts w:hint="eastAsia"/>
          <w:sz w:val="24"/>
        </w:rPr>
        <w:t>南昌</w:t>
      </w:r>
      <w:r>
        <w:rPr>
          <w:rFonts w:hint="eastAsia"/>
          <w:sz w:val="24"/>
          <w:lang w:val="en-US" w:eastAsia="zh-CN"/>
        </w:rPr>
        <w:t>市（</w:t>
      </w:r>
      <w:r>
        <w:rPr>
          <w:rFonts w:hint="eastAsia"/>
          <w:sz w:val="24"/>
        </w:rPr>
        <w:t>县</w:t>
      </w:r>
      <w:r>
        <w:rPr>
          <w:rFonts w:hint="eastAsia"/>
          <w:sz w:val="24"/>
          <w:lang w:val="en-US" w:eastAsia="zh-CN"/>
        </w:rPr>
        <w:t>）</w:t>
      </w:r>
      <w:r>
        <w:rPr>
          <w:rFonts w:hint="eastAsia"/>
          <w:sz w:val="24"/>
        </w:rPr>
        <w:t>人民法院：0</w:t>
      </w:r>
      <w:r>
        <w:rPr>
          <w:sz w:val="24"/>
        </w:rPr>
        <w:t>791-85712702</w:t>
      </w:r>
    </w:p>
    <w:p>
      <w:pPr>
        <w:widowControl/>
        <w:jc w:val="left"/>
        <w:rPr>
          <w:b/>
          <w:bCs/>
          <w:color w:val="000000" w:themeColor="text1"/>
          <w:sz w:val="24"/>
        </w:rPr>
      </w:pPr>
      <w:r>
        <w:br w:type="page"/>
      </w:r>
      <w:r>
        <w:rPr>
          <w:rFonts w:ascii="Times New Roman" w:hAnsi="Times New Roman" w:eastAsia="宋体" w:cs="Times New Roman"/>
          <w:b/>
          <w:bCs/>
          <w:kern w:val="2"/>
          <w:sz w:val="24"/>
          <w:szCs w:val="24"/>
          <w:lang w:val="en-US" w:eastAsia="zh-CN" w:bidi="ar-SA"/>
        </w:rPr>
        <w:t>附件</w:t>
      </w:r>
      <w:r>
        <w:rPr>
          <w:rFonts w:hint="eastAsia" w:ascii="Times New Roman" w:hAnsi="Times New Roman" w:eastAsia="宋体" w:cs="Times New Roman"/>
          <w:b/>
          <w:bCs/>
          <w:kern w:val="2"/>
          <w:sz w:val="24"/>
          <w:szCs w:val="24"/>
          <w:lang w:val="en-US" w:eastAsia="zh-CN" w:bidi="ar-SA"/>
        </w:rPr>
        <w:t>二 环评批复</w:t>
      </w:r>
    </w:p>
    <w:p>
      <w:pPr>
        <w:rPr>
          <w:rFonts w:hint="eastAsia" w:eastAsia="宋体"/>
          <w:lang w:eastAsia="zh-CN"/>
        </w:rPr>
      </w:pPr>
      <w:r>
        <w:rPr>
          <w:rFonts w:hint="eastAsia" w:eastAsia="宋体"/>
          <w:lang w:eastAsia="zh-CN"/>
        </w:rPr>
        <w:drawing>
          <wp:inline distT="0" distB="0" distL="114300" distR="114300">
            <wp:extent cx="4674870" cy="8492490"/>
            <wp:effectExtent l="0" t="0" r="3810" b="11430"/>
            <wp:docPr id="10" name="图片 10" descr="关于对部分环保违法违规项目进行完善备案的公示（第五批）-南昌国家经济技术开发区_2017090712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关于对部分环保违法违规项目进行完善备案的公示（第五批）-南昌国家经济技术开发区_20170907125012"/>
                    <pic:cNvPicPr>
                      <a:picLocks noChangeAspect="1"/>
                    </pic:cNvPicPr>
                  </pic:nvPicPr>
                  <pic:blipFill>
                    <a:blip r:embed="rId47"/>
                    <a:stretch>
                      <a:fillRect/>
                    </a:stretch>
                  </pic:blipFill>
                  <pic:spPr>
                    <a:xfrm>
                      <a:off x="0" y="0"/>
                      <a:ext cx="4674870" cy="8492490"/>
                    </a:xfrm>
                    <a:prstGeom prst="rect">
                      <a:avLst/>
                    </a:prstGeom>
                  </pic:spPr>
                </pic:pic>
              </a:graphicData>
            </a:graphic>
          </wp:inline>
        </w:drawing>
      </w:r>
    </w:p>
    <w:sectPr>
      <w:foot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27887036"/>
      <w:docPartObj>
        <w:docPartGallery w:val="autotext"/>
      </w:docPartObj>
    </w:sdtPr>
    <w:sdtContent>
      <w:p>
        <w:pPr>
          <w:pStyle w:val="8"/>
          <w:jc w:val="center"/>
        </w:pPr>
        <w:r>
          <w:fldChar w:fldCharType="begin"/>
        </w:r>
        <w:r>
          <w:instrText xml:space="preserve">PAGE   \* MERGEFORMAT</w:instrText>
        </w:r>
        <w:r>
          <w:fldChar w:fldCharType="separate"/>
        </w:r>
        <w:r>
          <w:rPr>
            <w:lang w:val="zh-CN"/>
          </w:rPr>
          <w:t>47</w:t>
        </w:r>
        <w:r>
          <w:fldChar w:fldCharType="end"/>
        </w:r>
      </w:p>
    </w:sdtContent>
  </w:sdt>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pPr>
    <w:r>
      <w:fldChar w:fldCharType="begin"/>
    </w:r>
    <w:r>
      <w:instrText xml:space="preserve">PAGE   \* MERGEFORMAT</w:instrText>
    </w:r>
    <w:r>
      <w:fldChar w:fldCharType="separate"/>
    </w:r>
    <w:r>
      <w:rPr>
        <w:lang w:val="zh-CN"/>
      </w:rPr>
      <w:t>VI</w:t>
    </w:r>
    <w:r>
      <w:fldChar w:fldCharType="end"/>
    </w:r>
  </w:p>
  <w:p>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73562EC"/>
    <w:multiLevelType w:val="singleLevel"/>
    <w:tmpl w:val="473562EC"/>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71C65001"/>
    <w:rsid w:val="000038EF"/>
    <w:rsid w:val="00004BE7"/>
    <w:rsid w:val="00046115"/>
    <w:rsid w:val="00056B5E"/>
    <w:rsid w:val="00072D04"/>
    <w:rsid w:val="00072F6D"/>
    <w:rsid w:val="00074863"/>
    <w:rsid w:val="00086D5A"/>
    <w:rsid w:val="000A6C60"/>
    <w:rsid w:val="000B715F"/>
    <w:rsid w:val="000C226A"/>
    <w:rsid w:val="000C5895"/>
    <w:rsid w:val="000E47A8"/>
    <w:rsid w:val="000E617F"/>
    <w:rsid w:val="000E6CD5"/>
    <w:rsid w:val="001035BE"/>
    <w:rsid w:val="00167669"/>
    <w:rsid w:val="001858DE"/>
    <w:rsid w:val="00191281"/>
    <w:rsid w:val="00193F8B"/>
    <w:rsid w:val="00194CC9"/>
    <w:rsid w:val="001A033C"/>
    <w:rsid w:val="001B0F23"/>
    <w:rsid w:val="001B1030"/>
    <w:rsid w:val="001C32BC"/>
    <w:rsid w:val="001D6BB4"/>
    <w:rsid w:val="001E6B7F"/>
    <w:rsid w:val="001E6C93"/>
    <w:rsid w:val="001F0284"/>
    <w:rsid w:val="0020086B"/>
    <w:rsid w:val="002213B4"/>
    <w:rsid w:val="00226308"/>
    <w:rsid w:val="0024540C"/>
    <w:rsid w:val="00245D52"/>
    <w:rsid w:val="002624DF"/>
    <w:rsid w:val="00270001"/>
    <w:rsid w:val="00272F4C"/>
    <w:rsid w:val="0029241B"/>
    <w:rsid w:val="002963B6"/>
    <w:rsid w:val="002A5F33"/>
    <w:rsid w:val="002B6B2D"/>
    <w:rsid w:val="002C3B49"/>
    <w:rsid w:val="002C522E"/>
    <w:rsid w:val="002E4D11"/>
    <w:rsid w:val="00300B7B"/>
    <w:rsid w:val="0031130F"/>
    <w:rsid w:val="003156AE"/>
    <w:rsid w:val="0034188C"/>
    <w:rsid w:val="00360B8F"/>
    <w:rsid w:val="00367FF2"/>
    <w:rsid w:val="00372686"/>
    <w:rsid w:val="00374F7F"/>
    <w:rsid w:val="00385F19"/>
    <w:rsid w:val="00396BF8"/>
    <w:rsid w:val="003B4F9D"/>
    <w:rsid w:val="003C3578"/>
    <w:rsid w:val="003E31BF"/>
    <w:rsid w:val="003E6414"/>
    <w:rsid w:val="003F0BDA"/>
    <w:rsid w:val="003F30CD"/>
    <w:rsid w:val="003F6180"/>
    <w:rsid w:val="00415806"/>
    <w:rsid w:val="00417C5F"/>
    <w:rsid w:val="0044745B"/>
    <w:rsid w:val="00486980"/>
    <w:rsid w:val="004940C5"/>
    <w:rsid w:val="004A4FBC"/>
    <w:rsid w:val="004A7A59"/>
    <w:rsid w:val="004B13A4"/>
    <w:rsid w:val="004D0071"/>
    <w:rsid w:val="004D4DA9"/>
    <w:rsid w:val="004D5940"/>
    <w:rsid w:val="004D683D"/>
    <w:rsid w:val="004E2E62"/>
    <w:rsid w:val="004F5018"/>
    <w:rsid w:val="0053178F"/>
    <w:rsid w:val="00540BDA"/>
    <w:rsid w:val="005517C8"/>
    <w:rsid w:val="00560E10"/>
    <w:rsid w:val="005A7723"/>
    <w:rsid w:val="005E1C66"/>
    <w:rsid w:val="005F39C9"/>
    <w:rsid w:val="00601ED5"/>
    <w:rsid w:val="006022BE"/>
    <w:rsid w:val="00624B2A"/>
    <w:rsid w:val="0064317E"/>
    <w:rsid w:val="006450B8"/>
    <w:rsid w:val="00650E54"/>
    <w:rsid w:val="00652A43"/>
    <w:rsid w:val="00664673"/>
    <w:rsid w:val="0066711A"/>
    <w:rsid w:val="00667723"/>
    <w:rsid w:val="00682A7B"/>
    <w:rsid w:val="00694055"/>
    <w:rsid w:val="006A0930"/>
    <w:rsid w:val="006F2753"/>
    <w:rsid w:val="006F6F00"/>
    <w:rsid w:val="00700772"/>
    <w:rsid w:val="00702599"/>
    <w:rsid w:val="00716869"/>
    <w:rsid w:val="00725F2D"/>
    <w:rsid w:val="00746A05"/>
    <w:rsid w:val="00756A89"/>
    <w:rsid w:val="00760D6A"/>
    <w:rsid w:val="00777F1C"/>
    <w:rsid w:val="00782839"/>
    <w:rsid w:val="00786030"/>
    <w:rsid w:val="007B566A"/>
    <w:rsid w:val="007C67E6"/>
    <w:rsid w:val="00802334"/>
    <w:rsid w:val="0080534A"/>
    <w:rsid w:val="0082103D"/>
    <w:rsid w:val="00834193"/>
    <w:rsid w:val="00835C2A"/>
    <w:rsid w:val="008507C0"/>
    <w:rsid w:val="00851781"/>
    <w:rsid w:val="00861180"/>
    <w:rsid w:val="00864A50"/>
    <w:rsid w:val="0088704B"/>
    <w:rsid w:val="00895373"/>
    <w:rsid w:val="008A2F99"/>
    <w:rsid w:val="008B0E39"/>
    <w:rsid w:val="008B5D4D"/>
    <w:rsid w:val="008C3684"/>
    <w:rsid w:val="008D10B0"/>
    <w:rsid w:val="008D703D"/>
    <w:rsid w:val="008E0D48"/>
    <w:rsid w:val="008E35C2"/>
    <w:rsid w:val="008E36C7"/>
    <w:rsid w:val="008E435D"/>
    <w:rsid w:val="008E5684"/>
    <w:rsid w:val="00902F9C"/>
    <w:rsid w:val="00912E25"/>
    <w:rsid w:val="009360E0"/>
    <w:rsid w:val="00947CA2"/>
    <w:rsid w:val="00971CA8"/>
    <w:rsid w:val="00972418"/>
    <w:rsid w:val="0098112F"/>
    <w:rsid w:val="0099404C"/>
    <w:rsid w:val="009A51F7"/>
    <w:rsid w:val="009C74C4"/>
    <w:rsid w:val="009E0B5F"/>
    <w:rsid w:val="00A02F47"/>
    <w:rsid w:val="00A0495A"/>
    <w:rsid w:val="00A06020"/>
    <w:rsid w:val="00A2021E"/>
    <w:rsid w:val="00A31385"/>
    <w:rsid w:val="00A37954"/>
    <w:rsid w:val="00A468FA"/>
    <w:rsid w:val="00A51C91"/>
    <w:rsid w:val="00A5376B"/>
    <w:rsid w:val="00A5558A"/>
    <w:rsid w:val="00A670C8"/>
    <w:rsid w:val="00A74196"/>
    <w:rsid w:val="00A92EF0"/>
    <w:rsid w:val="00AC3792"/>
    <w:rsid w:val="00AF0752"/>
    <w:rsid w:val="00B24704"/>
    <w:rsid w:val="00B46E88"/>
    <w:rsid w:val="00B520C1"/>
    <w:rsid w:val="00B5721A"/>
    <w:rsid w:val="00B93358"/>
    <w:rsid w:val="00B93D2E"/>
    <w:rsid w:val="00BA1531"/>
    <w:rsid w:val="00BA154D"/>
    <w:rsid w:val="00BB5463"/>
    <w:rsid w:val="00BF342B"/>
    <w:rsid w:val="00BF6535"/>
    <w:rsid w:val="00C043DF"/>
    <w:rsid w:val="00C07BD1"/>
    <w:rsid w:val="00C1726C"/>
    <w:rsid w:val="00C25DDA"/>
    <w:rsid w:val="00C27AA5"/>
    <w:rsid w:val="00C43BF6"/>
    <w:rsid w:val="00C6391F"/>
    <w:rsid w:val="00C732B4"/>
    <w:rsid w:val="00C73B4B"/>
    <w:rsid w:val="00C74AB3"/>
    <w:rsid w:val="00C816C6"/>
    <w:rsid w:val="00C90FA7"/>
    <w:rsid w:val="00CB65FF"/>
    <w:rsid w:val="00CD2132"/>
    <w:rsid w:val="00CE2DA7"/>
    <w:rsid w:val="00D044CB"/>
    <w:rsid w:val="00D07B11"/>
    <w:rsid w:val="00D173DE"/>
    <w:rsid w:val="00D214EA"/>
    <w:rsid w:val="00D22FA0"/>
    <w:rsid w:val="00D464EB"/>
    <w:rsid w:val="00D70CA9"/>
    <w:rsid w:val="00D94FFD"/>
    <w:rsid w:val="00D97B2D"/>
    <w:rsid w:val="00DB3B08"/>
    <w:rsid w:val="00DB42D0"/>
    <w:rsid w:val="00DC551C"/>
    <w:rsid w:val="00DE1692"/>
    <w:rsid w:val="00E0202C"/>
    <w:rsid w:val="00E02A0E"/>
    <w:rsid w:val="00E04638"/>
    <w:rsid w:val="00E0678C"/>
    <w:rsid w:val="00E367D9"/>
    <w:rsid w:val="00E37BB3"/>
    <w:rsid w:val="00E762FA"/>
    <w:rsid w:val="00E808B7"/>
    <w:rsid w:val="00E9594F"/>
    <w:rsid w:val="00EA1F4A"/>
    <w:rsid w:val="00EA45AA"/>
    <w:rsid w:val="00EA62E1"/>
    <w:rsid w:val="00EB4415"/>
    <w:rsid w:val="00EB625C"/>
    <w:rsid w:val="00ED1A2D"/>
    <w:rsid w:val="00EE0FBC"/>
    <w:rsid w:val="00EE2338"/>
    <w:rsid w:val="00EF0EF3"/>
    <w:rsid w:val="00EF228F"/>
    <w:rsid w:val="00F36F3E"/>
    <w:rsid w:val="00F433F0"/>
    <w:rsid w:val="00F52D15"/>
    <w:rsid w:val="00F6722F"/>
    <w:rsid w:val="00F80BAF"/>
    <w:rsid w:val="00F85EBC"/>
    <w:rsid w:val="00FA2798"/>
    <w:rsid w:val="00FA7D70"/>
    <w:rsid w:val="00FC0236"/>
    <w:rsid w:val="00FC5D84"/>
    <w:rsid w:val="00FD1BC0"/>
    <w:rsid w:val="00FD1E2D"/>
    <w:rsid w:val="00FF45FE"/>
    <w:rsid w:val="01637E81"/>
    <w:rsid w:val="01F265B9"/>
    <w:rsid w:val="02140E9E"/>
    <w:rsid w:val="03A07F6F"/>
    <w:rsid w:val="03B24226"/>
    <w:rsid w:val="042F17D7"/>
    <w:rsid w:val="04641F12"/>
    <w:rsid w:val="04C64308"/>
    <w:rsid w:val="059A673D"/>
    <w:rsid w:val="05A35B56"/>
    <w:rsid w:val="061E0002"/>
    <w:rsid w:val="0620285A"/>
    <w:rsid w:val="06AF4224"/>
    <w:rsid w:val="070A28F8"/>
    <w:rsid w:val="07B565F8"/>
    <w:rsid w:val="08670697"/>
    <w:rsid w:val="08763071"/>
    <w:rsid w:val="087F0BAC"/>
    <w:rsid w:val="08CF0673"/>
    <w:rsid w:val="096743B3"/>
    <w:rsid w:val="0A2151B3"/>
    <w:rsid w:val="0A5D7C14"/>
    <w:rsid w:val="0AAC381B"/>
    <w:rsid w:val="0AFA2EFF"/>
    <w:rsid w:val="0B0D0B8B"/>
    <w:rsid w:val="0B3A4ECF"/>
    <w:rsid w:val="0B677101"/>
    <w:rsid w:val="0B9E25C2"/>
    <w:rsid w:val="0BF810D1"/>
    <w:rsid w:val="0C023387"/>
    <w:rsid w:val="0C726BF0"/>
    <w:rsid w:val="0C9E4E72"/>
    <w:rsid w:val="0CC84730"/>
    <w:rsid w:val="0CCA3DE4"/>
    <w:rsid w:val="0CD729FA"/>
    <w:rsid w:val="0CEB7B10"/>
    <w:rsid w:val="0CF1640B"/>
    <w:rsid w:val="0D14372B"/>
    <w:rsid w:val="0EA4536D"/>
    <w:rsid w:val="0EE735A4"/>
    <w:rsid w:val="0F5C2D55"/>
    <w:rsid w:val="10177127"/>
    <w:rsid w:val="11934604"/>
    <w:rsid w:val="12722080"/>
    <w:rsid w:val="129D00E2"/>
    <w:rsid w:val="12CE609F"/>
    <w:rsid w:val="136A6FAC"/>
    <w:rsid w:val="13815454"/>
    <w:rsid w:val="13A41334"/>
    <w:rsid w:val="13B44773"/>
    <w:rsid w:val="13B527C5"/>
    <w:rsid w:val="13C349C6"/>
    <w:rsid w:val="13EA5C8E"/>
    <w:rsid w:val="14742BD7"/>
    <w:rsid w:val="14AD4880"/>
    <w:rsid w:val="15726E7B"/>
    <w:rsid w:val="15AC29B9"/>
    <w:rsid w:val="160E70FC"/>
    <w:rsid w:val="16E40E05"/>
    <w:rsid w:val="16FB0C08"/>
    <w:rsid w:val="17D10C47"/>
    <w:rsid w:val="17F4759C"/>
    <w:rsid w:val="183E7086"/>
    <w:rsid w:val="18BD0EDD"/>
    <w:rsid w:val="1AD6162F"/>
    <w:rsid w:val="1CE9465B"/>
    <w:rsid w:val="1D060FA8"/>
    <w:rsid w:val="1D4E2B5B"/>
    <w:rsid w:val="1D5045AE"/>
    <w:rsid w:val="1D5A099D"/>
    <w:rsid w:val="1D8827E9"/>
    <w:rsid w:val="1DD956B3"/>
    <w:rsid w:val="1E505EE6"/>
    <w:rsid w:val="1F346074"/>
    <w:rsid w:val="1F5E4455"/>
    <w:rsid w:val="1FC6174C"/>
    <w:rsid w:val="20554081"/>
    <w:rsid w:val="20DB2491"/>
    <w:rsid w:val="21B773D2"/>
    <w:rsid w:val="227A2242"/>
    <w:rsid w:val="228360D5"/>
    <w:rsid w:val="233D7488"/>
    <w:rsid w:val="23B66750"/>
    <w:rsid w:val="23CB072C"/>
    <w:rsid w:val="248470BE"/>
    <w:rsid w:val="25B03BE9"/>
    <w:rsid w:val="26154DF6"/>
    <w:rsid w:val="273E1B24"/>
    <w:rsid w:val="27666560"/>
    <w:rsid w:val="28651E48"/>
    <w:rsid w:val="28E210B5"/>
    <w:rsid w:val="28EA6DEF"/>
    <w:rsid w:val="29A3067D"/>
    <w:rsid w:val="29B5220F"/>
    <w:rsid w:val="29E07762"/>
    <w:rsid w:val="2ACC30D8"/>
    <w:rsid w:val="2B08240C"/>
    <w:rsid w:val="2B2E77BA"/>
    <w:rsid w:val="2C6C793B"/>
    <w:rsid w:val="2C81609F"/>
    <w:rsid w:val="2C85347D"/>
    <w:rsid w:val="2D6D1648"/>
    <w:rsid w:val="2E2C4AE3"/>
    <w:rsid w:val="2E4E4C4E"/>
    <w:rsid w:val="2EDD50A6"/>
    <w:rsid w:val="2EF66D27"/>
    <w:rsid w:val="2F4E689D"/>
    <w:rsid w:val="30812D3F"/>
    <w:rsid w:val="30B7606B"/>
    <w:rsid w:val="31732427"/>
    <w:rsid w:val="318805B7"/>
    <w:rsid w:val="31A85F68"/>
    <w:rsid w:val="32875C13"/>
    <w:rsid w:val="32B23FCB"/>
    <w:rsid w:val="32E920A1"/>
    <w:rsid w:val="33282673"/>
    <w:rsid w:val="3341760A"/>
    <w:rsid w:val="33565687"/>
    <w:rsid w:val="33DA5ECB"/>
    <w:rsid w:val="348C7364"/>
    <w:rsid w:val="34926F14"/>
    <w:rsid w:val="34971FDC"/>
    <w:rsid w:val="34EC5981"/>
    <w:rsid w:val="35D33120"/>
    <w:rsid w:val="35F16E4F"/>
    <w:rsid w:val="361108CA"/>
    <w:rsid w:val="371F6BFD"/>
    <w:rsid w:val="3769453D"/>
    <w:rsid w:val="37C73913"/>
    <w:rsid w:val="37F43586"/>
    <w:rsid w:val="37F74768"/>
    <w:rsid w:val="380C1721"/>
    <w:rsid w:val="38DE1660"/>
    <w:rsid w:val="391223AE"/>
    <w:rsid w:val="39224DA8"/>
    <w:rsid w:val="395F335A"/>
    <w:rsid w:val="39952BF3"/>
    <w:rsid w:val="39A7125B"/>
    <w:rsid w:val="39B344FC"/>
    <w:rsid w:val="3A1B67C8"/>
    <w:rsid w:val="3A9729DA"/>
    <w:rsid w:val="3B010E1F"/>
    <w:rsid w:val="3BD20620"/>
    <w:rsid w:val="3BF53F8C"/>
    <w:rsid w:val="3C861C7F"/>
    <w:rsid w:val="3D25630A"/>
    <w:rsid w:val="3D8604A2"/>
    <w:rsid w:val="3E2251E9"/>
    <w:rsid w:val="3E6F2FCB"/>
    <w:rsid w:val="3E7705CC"/>
    <w:rsid w:val="4125518E"/>
    <w:rsid w:val="417D4B22"/>
    <w:rsid w:val="42FB3721"/>
    <w:rsid w:val="43627FE3"/>
    <w:rsid w:val="43CF6E13"/>
    <w:rsid w:val="4459559D"/>
    <w:rsid w:val="44A078D3"/>
    <w:rsid w:val="4535654A"/>
    <w:rsid w:val="4692494F"/>
    <w:rsid w:val="46986E10"/>
    <w:rsid w:val="47164236"/>
    <w:rsid w:val="47520AAC"/>
    <w:rsid w:val="47734D97"/>
    <w:rsid w:val="478B2680"/>
    <w:rsid w:val="478D405C"/>
    <w:rsid w:val="491463EE"/>
    <w:rsid w:val="49806D5C"/>
    <w:rsid w:val="49C41F39"/>
    <w:rsid w:val="49CB642F"/>
    <w:rsid w:val="4BE13187"/>
    <w:rsid w:val="4C327CDD"/>
    <w:rsid w:val="4CAA167E"/>
    <w:rsid w:val="4CBD5CEF"/>
    <w:rsid w:val="4CE93D88"/>
    <w:rsid w:val="4D1C340F"/>
    <w:rsid w:val="4D5019CE"/>
    <w:rsid w:val="4D751EAA"/>
    <w:rsid w:val="4D7C1F0B"/>
    <w:rsid w:val="4F042E26"/>
    <w:rsid w:val="501C2C5B"/>
    <w:rsid w:val="50211FDD"/>
    <w:rsid w:val="50F7044C"/>
    <w:rsid w:val="513E474A"/>
    <w:rsid w:val="51640AC1"/>
    <w:rsid w:val="51BE072D"/>
    <w:rsid w:val="51C567FF"/>
    <w:rsid w:val="51CC5516"/>
    <w:rsid w:val="521A5A45"/>
    <w:rsid w:val="522A6EBC"/>
    <w:rsid w:val="53180075"/>
    <w:rsid w:val="534366B3"/>
    <w:rsid w:val="53762614"/>
    <w:rsid w:val="540D70A2"/>
    <w:rsid w:val="541A6936"/>
    <w:rsid w:val="54205BF2"/>
    <w:rsid w:val="54F06530"/>
    <w:rsid w:val="560A6A3F"/>
    <w:rsid w:val="566B60D7"/>
    <w:rsid w:val="569B1B13"/>
    <w:rsid w:val="56CC173F"/>
    <w:rsid w:val="57440FA0"/>
    <w:rsid w:val="588A016F"/>
    <w:rsid w:val="58A97C5F"/>
    <w:rsid w:val="593C6F90"/>
    <w:rsid w:val="59841A08"/>
    <w:rsid w:val="5AA826EA"/>
    <w:rsid w:val="5AB442AB"/>
    <w:rsid w:val="5ADB77E2"/>
    <w:rsid w:val="5B05268C"/>
    <w:rsid w:val="5B6414F2"/>
    <w:rsid w:val="5B9B44F0"/>
    <w:rsid w:val="5BA51C39"/>
    <w:rsid w:val="5BFA4555"/>
    <w:rsid w:val="5C3248A5"/>
    <w:rsid w:val="5D03780D"/>
    <w:rsid w:val="5D0B1AFF"/>
    <w:rsid w:val="5D675276"/>
    <w:rsid w:val="5E6660BD"/>
    <w:rsid w:val="5EDB759C"/>
    <w:rsid w:val="5EDE5B68"/>
    <w:rsid w:val="5F4D5301"/>
    <w:rsid w:val="5FE03D8A"/>
    <w:rsid w:val="60052365"/>
    <w:rsid w:val="60FA282B"/>
    <w:rsid w:val="61176877"/>
    <w:rsid w:val="62C5266C"/>
    <w:rsid w:val="62C760E3"/>
    <w:rsid w:val="63125181"/>
    <w:rsid w:val="63197861"/>
    <w:rsid w:val="63835DB6"/>
    <w:rsid w:val="639426B9"/>
    <w:rsid w:val="63DF3EE6"/>
    <w:rsid w:val="64A060B5"/>
    <w:rsid w:val="64A468F5"/>
    <w:rsid w:val="64EA6644"/>
    <w:rsid w:val="650D526E"/>
    <w:rsid w:val="65116E38"/>
    <w:rsid w:val="666B68E8"/>
    <w:rsid w:val="668B0601"/>
    <w:rsid w:val="669229C8"/>
    <w:rsid w:val="66F953A1"/>
    <w:rsid w:val="67990322"/>
    <w:rsid w:val="67A15E0E"/>
    <w:rsid w:val="67E238F7"/>
    <w:rsid w:val="68F60EE4"/>
    <w:rsid w:val="6A553537"/>
    <w:rsid w:val="6A745D16"/>
    <w:rsid w:val="6AA8097D"/>
    <w:rsid w:val="6ADD30CD"/>
    <w:rsid w:val="6B382F95"/>
    <w:rsid w:val="6BB13AB5"/>
    <w:rsid w:val="6C7B0FF9"/>
    <w:rsid w:val="6C7F55B0"/>
    <w:rsid w:val="6D0C6D76"/>
    <w:rsid w:val="701D0EA9"/>
    <w:rsid w:val="71232F08"/>
    <w:rsid w:val="7151065B"/>
    <w:rsid w:val="716D4C87"/>
    <w:rsid w:val="71C65001"/>
    <w:rsid w:val="71DC3A98"/>
    <w:rsid w:val="71E96D82"/>
    <w:rsid w:val="72455631"/>
    <w:rsid w:val="72AD3368"/>
    <w:rsid w:val="72BD7BD0"/>
    <w:rsid w:val="73102EE4"/>
    <w:rsid w:val="73905871"/>
    <w:rsid w:val="7398441B"/>
    <w:rsid w:val="73A96B91"/>
    <w:rsid w:val="73B65F0F"/>
    <w:rsid w:val="73FB3FB6"/>
    <w:rsid w:val="740165F0"/>
    <w:rsid w:val="75DC692F"/>
    <w:rsid w:val="75DD61B2"/>
    <w:rsid w:val="76E71432"/>
    <w:rsid w:val="77942A68"/>
    <w:rsid w:val="779735A2"/>
    <w:rsid w:val="78065383"/>
    <w:rsid w:val="78A225EA"/>
    <w:rsid w:val="797E56BC"/>
    <w:rsid w:val="7A9644F7"/>
    <w:rsid w:val="7BD60868"/>
    <w:rsid w:val="7BD87396"/>
    <w:rsid w:val="7C2023D2"/>
    <w:rsid w:val="7C4563D2"/>
    <w:rsid w:val="7C61170A"/>
    <w:rsid w:val="7C884F35"/>
    <w:rsid w:val="7C8E5DBC"/>
    <w:rsid w:val="7CDA403F"/>
    <w:rsid w:val="7D062A54"/>
    <w:rsid w:val="7DDB69A8"/>
    <w:rsid w:val="7E5B619A"/>
    <w:rsid w:val="7E6839A2"/>
    <w:rsid w:val="7E6D75C9"/>
    <w:rsid w:val="7F383E4F"/>
    <w:rsid w:val="7FC25A6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iPriority="39"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iPriority="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qFormat="1"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qFormat="1" w:uiPriority="99" w:semiHidden="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unhideWhenUsed/>
    <w:qFormat/>
    <w:uiPriority w:val="99"/>
    <w:pPr>
      <w:ind w:firstLine="420" w:firstLineChars="200"/>
    </w:pPr>
    <w:rPr>
      <w:rFonts w:hint="eastAsia"/>
    </w:rPr>
  </w:style>
  <w:style w:type="paragraph" w:styleId="3">
    <w:name w:val="Body Text Indent"/>
    <w:basedOn w:val="1"/>
    <w:qFormat/>
    <w:uiPriority w:val="0"/>
    <w:pPr>
      <w:adjustRightInd w:val="0"/>
      <w:spacing w:line="360" w:lineRule="auto"/>
      <w:ind w:firstLine="482"/>
      <w:jc w:val="left"/>
      <w:textAlignment w:val="baseline"/>
    </w:pPr>
    <w:rPr>
      <w:kern w:val="0"/>
      <w:sz w:val="24"/>
      <w:szCs w:val="20"/>
    </w:rPr>
  </w:style>
  <w:style w:type="paragraph" w:styleId="4">
    <w:name w:val="Normal Indent"/>
    <w:basedOn w:val="1"/>
    <w:link w:val="31"/>
    <w:qFormat/>
    <w:uiPriority w:val="0"/>
    <w:pPr>
      <w:ind w:firstLine="420" w:firstLineChars="200"/>
    </w:pPr>
  </w:style>
  <w:style w:type="paragraph" w:styleId="5">
    <w:name w:val="annotation text"/>
    <w:basedOn w:val="1"/>
    <w:semiHidden/>
    <w:unhideWhenUsed/>
    <w:qFormat/>
    <w:uiPriority w:val="0"/>
    <w:pPr>
      <w:jc w:val="left"/>
    </w:pPr>
  </w:style>
  <w:style w:type="paragraph" w:styleId="6">
    <w:name w:val="Body Text"/>
    <w:basedOn w:val="1"/>
    <w:qFormat/>
    <w:uiPriority w:val="0"/>
    <w:pPr>
      <w:autoSpaceDE w:val="0"/>
      <w:autoSpaceDN w:val="0"/>
      <w:adjustRightInd w:val="0"/>
      <w:spacing w:line="360" w:lineRule="atLeast"/>
      <w:jc w:val="left"/>
      <w:textAlignment w:val="baseline"/>
    </w:pPr>
    <w:rPr>
      <w:rFonts w:ascii="宋体"/>
      <w:color w:val="000000"/>
      <w:kern w:val="0"/>
      <w:sz w:val="24"/>
      <w:szCs w:val="20"/>
    </w:rPr>
  </w:style>
  <w:style w:type="paragraph" w:styleId="7">
    <w:name w:val="Balloon Text"/>
    <w:basedOn w:val="1"/>
    <w:link w:val="25"/>
    <w:qFormat/>
    <w:uiPriority w:val="0"/>
    <w:rPr>
      <w:sz w:val="18"/>
      <w:szCs w:val="18"/>
    </w:rPr>
  </w:style>
  <w:style w:type="paragraph" w:styleId="8">
    <w:name w:val="footer"/>
    <w:basedOn w:val="1"/>
    <w:link w:val="28"/>
    <w:qFormat/>
    <w:uiPriority w:val="99"/>
    <w:pPr>
      <w:tabs>
        <w:tab w:val="center" w:pos="4153"/>
        <w:tab w:val="right" w:pos="8306"/>
      </w:tabs>
      <w:adjustRightInd w:val="0"/>
      <w:spacing w:line="240" w:lineRule="atLeast"/>
      <w:jc w:val="left"/>
      <w:textAlignment w:val="baseline"/>
    </w:pPr>
    <w:rPr>
      <w:kern w:val="0"/>
      <w:sz w:val="18"/>
      <w:szCs w:val="20"/>
    </w:rPr>
  </w:style>
  <w:style w:type="paragraph" w:styleId="9">
    <w:name w:val="header"/>
    <w:basedOn w:val="1"/>
    <w:link w:val="27"/>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qFormat/>
    <w:uiPriority w:val="39"/>
  </w:style>
  <w:style w:type="paragraph" w:styleId="11">
    <w:name w:val="List"/>
    <w:basedOn w:val="1"/>
    <w:qFormat/>
    <w:uiPriority w:val="0"/>
    <w:pPr>
      <w:ind w:left="200" w:hanging="200" w:hangingChars="200"/>
    </w:pPr>
  </w:style>
  <w:style w:type="paragraph" w:styleId="12">
    <w:name w:val="toc 2"/>
    <w:basedOn w:val="1"/>
    <w:next w:val="1"/>
    <w:unhideWhenUsed/>
    <w:qFormat/>
    <w:uiPriority w:val="39"/>
    <w:pPr>
      <w:ind w:left="420" w:leftChars="200"/>
    </w:pPr>
  </w:style>
  <w:style w:type="paragraph" w:styleId="13">
    <w:name w:val="Normal (Web)"/>
    <w:basedOn w:val="1"/>
    <w:qFormat/>
    <w:uiPriority w:val="0"/>
    <w:pPr>
      <w:widowControl/>
      <w:spacing w:beforeAutospacing="1" w:afterAutospacing="1"/>
      <w:jc w:val="left"/>
    </w:pPr>
    <w:rPr>
      <w:rFonts w:ascii="宋体" w:hAnsi="宋体"/>
      <w:kern w:val="0"/>
      <w:sz w:val="24"/>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page number"/>
    <w:basedOn w:val="16"/>
    <w:qFormat/>
    <w:uiPriority w:val="0"/>
  </w:style>
  <w:style w:type="character" w:styleId="18">
    <w:name w:val="Hyperlink"/>
    <w:qFormat/>
    <w:uiPriority w:val="99"/>
    <w:rPr>
      <w:color w:val="0000FF"/>
      <w:u w:val="single"/>
    </w:rPr>
  </w:style>
  <w:style w:type="paragraph" w:customStyle="1" w:styleId="19">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20">
    <w:name w:val="正文20110824"/>
    <w:basedOn w:val="1"/>
    <w:qFormat/>
    <w:uiPriority w:val="0"/>
    <w:pPr>
      <w:spacing w:line="360" w:lineRule="auto"/>
      <w:ind w:firstLine="200" w:firstLineChars="200"/>
    </w:pPr>
    <w:rPr>
      <w:color w:val="000000"/>
      <w:sz w:val="24"/>
    </w:rPr>
  </w:style>
  <w:style w:type="paragraph" w:customStyle="1" w:styleId="21">
    <w:name w:val="表题"/>
    <w:basedOn w:val="1"/>
    <w:unhideWhenUsed/>
    <w:qFormat/>
    <w:uiPriority w:val="99"/>
    <w:pPr>
      <w:snapToGrid w:val="0"/>
      <w:spacing w:beforeLines="50" w:line="360" w:lineRule="auto"/>
      <w:jc w:val="center"/>
    </w:pPr>
    <w:rPr>
      <w:rFonts w:hint="eastAsia"/>
      <w:b/>
      <w:color w:val="000000"/>
      <w:sz w:val="24"/>
    </w:rPr>
  </w:style>
  <w:style w:type="paragraph" w:customStyle="1" w:styleId="22">
    <w:name w:val="填表5中"/>
    <w:basedOn w:val="1"/>
    <w:next w:val="1"/>
    <w:qFormat/>
    <w:uiPriority w:val="0"/>
    <w:pPr>
      <w:spacing w:line="240" w:lineRule="exact"/>
      <w:jc w:val="center"/>
    </w:pPr>
    <w:rPr>
      <w:rFonts w:ascii="宋体"/>
      <w:szCs w:val="21"/>
    </w:rPr>
  </w:style>
  <w:style w:type="paragraph" w:customStyle="1" w:styleId="23">
    <w:name w:val="样式5"/>
    <w:basedOn w:val="13"/>
    <w:unhideWhenUsed/>
    <w:qFormat/>
    <w:uiPriority w:val="99"/>
    <w:pPr>
      <w:spacing w:line="360" w:lineRule="auto"/>
      <w:ind w:firstLine="480" w:firstLineChars="200"/>
    </w:pPr>
    <w:rPr>
      <w:rFonts w:hint="eastAsia"/>
    </w:rPr>
  </w:style>
  <w:style w:type="paragraph" w:customStyle="1" w:styleId="24">
    <w:name w:val="表头"/>
    <w:basedOn w:val="1"/>
    <w:qFormat/>
    <w:uiPriority w:val="0"/>
    <w:pPr>
      <w:spacing w:line="320" w:lineRule="atLeast"/>
      <w:jc w:val="center"/>
    </w:pPr>
    <w:rPr>
      <w:rFonts w:eastAsia="黑体"/>
      <w:spacing w:val="-10"/>
      <w:kern w:val="0"/>
      <w:szCs w:val="21"/>
    </w:rPr>
  </w:style>
  <w:style w:type="character" w:customStyle="1" w:styleId="25">
    <w:name w:val="批注框文本 Char"/>
    <w:basedOn w:val="16"/>
    <w:link w:val="7"/>
    <w:qFormat/>
    <w:uiPriority w:val="0"/>
    <w:rPr>
      <w:kern w:val="2"/>
      <w:sz w:val="18"/>
      <w:szCs w:val="18"/>
    </w:rPr>
  </w:style>
  <w:style w:type="paragraph" w:customStyle="1" w:styleId="26">
    <w:name w:val="样式1"/>
    <w:basedOn w:val="1"/>
    <w:qFormat/>
    <w:uiPriority w:val="99"/>
    <w:pPr>
      <w:spacing w:line="600" w:lineRule="exact"/>
      <w:jc w:val="center"/>
    </w:pPr>
    <w:rPr>
      <w:rFonts w:ascii="仿宋_GB2312" w:hAnsi="宋体" w:eastAsia="仿宋_GB2312"/>
      <w:bCs/>
      <w:sz w:val="24"/>
    </w:rPr>
  </w:style>
  <w:style w:type="character" w:customStyle="1" w:styleId="27">
    <w:name w:val="页眉 Char"/>
    <w:basedOn w:val="16"/>
    <w:link w:val="9"/>
    <w:qFormat/>
    <w:uiPriority w:val="99"/>
    <w:rPr>
      <w:kern w:val="2"/>
      <w:sz w:val="18"/>
      <w:szCs w:val="18"/>
    </w:rPr>
  </w:style>
  <w:style w:type="character" w:customStyle="1" w:styleId="28">
    <w:name w:val="页脚 Char"/>
    <w:basedOn w:val="16"/>
    <w:link w:val="8"/>
    <w:qFormat/>
    <w:uiPriority w:val="99"/>
    <w:rPr>
      <w:sz w:val="18"/>
    </w:rPr>
  </w:style>
  <w:style w:type="paragraph" w:customStyle="1" w:styleId="29">
    <w:name w:val="Char Char Char Char"/>
    <w:basedOn w:val="1"/>
    <w:qFormat/>
    <w:uiPriority w:val="0"/>
  </w:style>
  <w:style w:type="paragraph" w:styleId="30">
    <w:name w:val="List Paragraph"/>
    <w:basedOn w:val="1"/>
    <w:qFormat/>
    <w:uiPriority w:val="99"/>
    <w:pPr>
      <w:ind w:firstLine="420" w:firstLineChars="200"/>
    </w:pPr>
    <w:rPr>
      <w:rFonts w:asciiTheme="minorHAnsi" w:hAnsiTheme="minorHAnsi" w:eastAsiaTheme="minorEastAsia" w:cstheme="minorBidi"/>
      <w:szCs w:val="22"/>
    </w:rPr>
  </w:style>
  <w:style w:type="character" w:customStyle="1" w:styleId="31">
    <w:name w:val="正文缩进 Char"/>
    <w:basedOn w:val="16"/>
    <w:link w:val="4"/>
    <w:qFormat/>
    <w:uiPriority w:val="0"/>
    <w:rPr>
      <w:kern w:val="2"/>
      <w:sz w:val="21"/>
      <w:szCs w:val="24"/>
    </w:rPr>
  </w:style>
  <w:style w:type="character" w:customStyle="1" w:styleId="32">
    <w:name w:val="表格正文 Char Char"/>
    <w:link w:val="33"/>
    <w:qFormat/>
    <w:uiPriority w:val="0"/>
    <w:rPr>
      <w:rFonts w:ascii="宋体"/>
      <w:snapToGrid w:val="0"/>
      <w:spacing w:val="4"/>
      <w:szCs w:val="21"/>
    </w:rPr>
  </w:style>
  <w:style w:type="paragraph" w:customStyle="1" w:styleId="33">
    <w:name w:val="表格正文"/>
    <w:basedOn w:val="1"/>
    <w:next w:val="1"/>
    <w:link w:val="32"/>
    <w:qFormat/>
    <w:uiPriority w:val="0"/>
    <w:pPr>
      <w:adjustRightInd w:val="0"/>
      <w:snapToGrid w:val="0"/>
      <w:jc w:val="center"/>
      <w:textAlignment w:val="baseline"/>
    </w:pPr>
    <w:rPr>
      <w:rFonts w:ascii="宋体"/>
      <w:snapToGrid w:val="0"/>
      <w:spacing w:val="4"/>
      <w:kern w:val="0"/>
      <w:sz w:val="20"/>
      <w:szCs w:val="21"/>
    </w:rPr>
  </w:style>
  <w:style w:type="paragraph" w:customStyle="1" w:styleId="34">
    <w:name w:val="三级书"/>
    <w:basedOn w:val="6"/>
    <w:next w:val="35"/>
    <w:qFormat/>
    <w:uiPriority w:val="0"/>
    <w:pPr>
      <w:spacing w:line="520" w:lineRule="exact"/>
      <w:outlineLvl w:val="2"/>
    </w:pPr>
    <w:rPr>
      <w:rFonts w:hAnsi="宋体"/>
      <w:b/>
      <w:sz w:val="28"/>
    </w:rPr>
  </w:style>
  <w:style w:type="paragraph" w:customStyle="1" w:styleId="35">
    <w:name w:val="书表格"/>
    <w:basedOn w:val="1"/>
    <w:next w:val="36"/>
    <w:qFormat/>
    <w:uiPriority w:val="0"/>
    <w:pPr>
      <w:autoSpaceDE w:val="0"/>
      <w:autoSpaceDN w:val="0"/>
      <w:adjustRightInd w:val="0"/>
      <w:jc w:val="center"/>
      <w:textAlignment w:val="bottom"/>
    </w:pPr>
    <w:rPr>
      <w:kern w:val="0"/>
    </w:rPr>
  </w:style>
  <w:style w:type="paragraph" w:customStyle="1" w:styleId="36">
    <w:name w:val="书正文"/>
    <w:basedOn w:val="1"/>
    <w:qFormat/>
    <w:uiPriority w:val="0"/>
    <w:pPr>
      <w:adjustRightInd w:val="0"/>
      <w:spacing w:line="520" w:lineRule="exact"/>
      <w:ind w:firstLine="200" w:firstLineChars="200"/>
      <w:textAlignment w:val="baseline"/>
    </w:pPr>
    <w:rPr>
      <w:kern w:val="0"/>
      <w:sz w:val="24"/>
    </w:rPr>
  </w:style>
  <w:style w:type="paragraph" w:customStyle="1" w:styleId="37">
    <w:name w:val="二级书"/>
    <w:basedOn w:val="38"/>
    <w:next w:val="36"/>
    <w:qFormat/>
    <w:uiPriority w:val="0"/>
    <w:pPr>
      <w:outlineLvl w:val="1"/>
    </w:pPr>
    <w:rPr>
      <w:sz w:val="30"/>
    </w:rPr>
  </w:style>
  <w:style w:type="paragraph" w:customStyle="1" w:styleId="38">
    <w:name w:val="一级书"/>
    <w:basedOn w:val="1"/>
    <w:next w:val="37"/>
    <w:qFormat/>
    <w:uiPriority w:val="0"/>
    <w:pPr>
      <w:spacing w:line="520" w:lineRule="exact"/>
      <w:jc w:val="left"/>
      <w:outlineLvl w:val="0"/>
    </w:pPr>
    <w:rPr>
      <w:rFonts w:ascii="宋体" w:hAnsi="宋体"/>
      <w:b/>
      <w:sz w:val="32"/>
      <w:szCs w:val="28"/>
    </w:rPr>
  </w:style>
  <w:style w:type="character" w:customStyle="1" w:styleId="39">
    <w:name w:val="NormalCharacter"/>
    <w:qFormat/>
    <w:uiPriority w:val="0"/>
  </w:style>
  <w:style w:type="paragraph" w:customStyle="1" w:styleId="40">
    <w:name w:val="UserStyle_4"/>
    <w:basedOn w:val="1"/>
    <w:qFormat/>
    <w:uiPriority w:val="0"/>
    <w:pPr>
      <w:jc w:val="center"/>
    </w:pPr>
    <w:rPr>
      <w:rFonts w:ascii="宋体" w:hAnsi="宋体"/>
      <w:spacing w:val="-4"/>
      <w:w w:val="90"/>
      <w:kern w:val="0"/>
    </w:rPr>
  </w:style>
  <w:style w:type="paragraph" w:customStyle="1" w:styleId="41">
    <w:name w:val="HtmlNormal"/>
    <w:basedOn w:val="1"/>
    <w:qFormat/>
    <w:uiPriority w:val="0"/>
    <w:pPr>
      <w:spacing w:before="100" w:beforeAutospacing="1" w:after="100" w:afterAutospacing="1"/>
      <w:jc w:val="left"/>
    </w:pPr>
    <w:rPr>
      <w:rFonts w:ascii="宋体" w:hAnsi="宋体"/>
      <w:kern w:val="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jpeg"/><Relationship Id="rId51" Type="http://schemas.openxmlformats.org/officeDocument/2006/relationships/fontTable" Target="fontTable.xml"/><Relationship Id="rId50" Type="http://schemas.openxmlformats.org/officeDocument/2006/relationships/customXml" Target="../customXml/item2.xml"/><Relationship Id="rId5" Type="http://schemas.openxmlformats.org/officeDocument/2006/relationships/theme" Target="theme/theme1.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29.png"/><Relationship Id="rId46" Type="http://schemas.openxmlformats.org/officeDocument/2006/relationships/image" Target="media/image28.png"/><Relationship Id="rId45" Type="http://schemas.openxmlformats.org/officeDocument/2006/relationships/image" Target="media/image27.jpeg"/><Relationship Id="rId44" Type="http://schemas.openxmlformats.org/officeDocument/2006/relationships/image" Target="media/image26.jpeg"/><Relationship Id="rId43" Type="http://schemas.openxmlformats.org/officeDocument/2006/relationships/image" Target="media/image25.jpeg"/><Relationship Id="rId42" Type="http://schemas.openxmlformats.org/officeDocument/2006/relationships/image" Target="media/image24.jpeg"/><Relationship Id="rId41" Type="http://schemas.openxmlformats.org/officeDocument/2006/relationships/image" Target="media/image23.jpeg"/><Relationship Id="rId40" Type="http://schemas.openxmlformats.org/officeDocument/2006/relationships/image" Target="media/image22.jpeg"/><Relationship Id="rId4" Type="http://schemas.openxmlformats.org/officeDocument/2006/relationships/footer" Target="footer2.xml"/><Relationship Id="rId39" Type="http://schemas.openxmlformats.org/officeDocument/2006/relationships/image" Target="media/image21.wmf"/><Relationship Id="rId38" Type="http://schemas.openxmlformats.org/officeDocument/2006/relationships/oleObject" Target="embeddings/oleObject13.bin"/><Relationship Id="rId37" Type="http://schemas.openxmlformats.org/officeDocument/2006/relationships/image" Target="media/image20.wmf"/><Relationship Id="rId36" Type="http://schemas.openxmlformats.org/officeDocument/2006/relationships/oleObject" Target="embeddings/oleObject12.bin"/><Relationship Id="rId35" Type="http://schemas.openxmlformats.org/officeDocument/2006/relationships/image" Target="media/image19.wmf"/><Relationship Id="rId34" Type="http://schemas.openxmlformats.org/officeDocument/2006/relationships/oleObject" Target="embeddings/oleObject11.bin"/><Relationship Id="rId33" Type="http://schemas.openxmlformats.org/officeDocument/2006/relationships/image" Target="media/image18.wmf"/><Relationship Id="rId32" Type="http://schemas.openxmlformats.org/officeDocument/2006/relationships/oleObject" Target="embeddings/oleObject10.bin"/><Relationship Id="rId31" Type="http://schemas.openxmlformats.org/officeDocument/2006/relationships/image" Target="media/image17.wmf"/><Relationship Id="rId30" Type="http://schemas.openxmlformats.org/officeDocument/2006/relationships/oleObject" Target="embeddings/oleObject9.bin"/><Relationship Id="rId3" Type="http://schemas.openxmlformats.org/officeDocument/2006/relationships/footer" Target="footer1.xml"/><Relationship Id="rId29" Type="http://schemas.openxmlformats.org/officeDocument/2006/relationships/image" Target="media/image16.wmf"/><Relationship Id="rId28" Type="http://schemas.openxmlformats.org/officeDocument/2006/relationships/oleObject" Target="embeddings/oleObject8.bin"/><Relationship Id="rId27" Type="http://schemas.openxmlformats.org/officeDocument/2006/relationships/image" Target="media/image15.wmf"/><Relationship Id="rId26" Type="http://schemas.openxmlformats.org/officeDocument/2006/relationships/oleObject" Target="embeddings/oleObject7.bin"/><Relationship Id="rId25" Type="http://schemas.openxmlformats.org/officeDocument/2006/relationships/image" Target="media/image14.wmf"/><Relationship Id="rId24" Type="http://schemas.openxmlformats.org/officeDocument/2006/relationships/oleObject" Target="embeddings/oleObject6.bin"/><Relationship Id="rId23" Type="http://schemas.openxmlformats.org/officeDocument/2006/relationships/image" Target="media/image13.wmf"/><Relationship Id="rId22" Type="http://schemas.openxmlformats.org/officeDocument/2006/relationships/oleObject" Target="embeddings/oleObject5.bin"/><Relationship Id="rId21" Type="http://schemas.openxmlformats.org/officeDocument/2006/relationships/image" Target="media/image12.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11.wmf"/><Relationship Id="rId18" Type="http://schemas.openxmlformats.org/officeDocument/2006/relationships/oleObject" Target="embeddings/oleObject3.bin"/><Relationship Id="rId17" Type="http://schemas.openxmlformats.org/officeDocument/2006/relationships/image" Target="media/image10.wmf"/><Relationship Id="rId16" Type="http://schemas.openxmlformats.org/officeDocument/2006/relationships/oleObject" Target="embeddings/oleObject2.bin"/><Relationship Id="rId15" Type="http://schemas.openxmlformats.org/officeDocument/2006/relationships/image" Target="media/image9.png"/><Relationship Id="rId14" Type="http://schemas.openxmlformats.org/officeDocument/2006/relationships/image" Target="media/image8.emf"/><Relationship Id="rId13" Type="http://schemas.openxmlformats.org/officeDocument/2006/relationships/oleObject" Target="embeddings/oleObject1.bin"/><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96"/>
    <customShpInfo spid="_x0000_s1067"/>
    <customShpInfo spid="_x0000_s1066"/>
    <customShpInfo spid="_x0000_s1065"/>
    <customShpInfo spid="_x0000_s1064"/>
    <customShpInfo spid="_x0000_s1050"/>
    <customShpInfo spid="_x0000_s1049"/>
    <customShpInfo spid="_x0000_s1048"/>
    <customShpInfo spid="_x0000_s1047"/>
    <customShpInfo spid="_x0000_s1043"/>
    <customShpInfo spid="_x0000_s1046"/>
    <customShpInfo spid="_x0000_s1045"/>
    <customShpInfo spid="_x0000_s1044"/>
    <customShpInfo spid="_x0000_s1042"/>
    <customShpInfo spid="_x0000_s1041"/>
    <customShpInfo spid="_x0000_s1040"/>
    <customShpInfo spid="_x0000_s1039"/>
    <customShpInfo spid="_x0000_s1037"/>
    <customShpInfo spid="_x0000_s1038"/>
    <customShpInfo spid="_x0000_s1095"/>
    <customShpInfo spid="_x0000_s109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E65D0E8-D973-48DC-A2DD-FA383F6953A9}">
  <ds:schemaRefs/>
</ds:datastoreItem>
</file>

<file path=docProps/app.xml><?xml version="1.0" encoding="utf-8"?>
<Properties xmlns="http://schemas.openxmlformats.org/officeDocument/2006/extended-properties" xmlns:vt="http://schemas.openxmlformats.org/officeDocument/2006/docPropsVTypes">
  <Template>Normal</Template>
  <Company>ra</Company>
  <Pages>56</Pages>
  <Words>4694</Words>
  <Characters>26756</Characters>
  <Lines>222</Lines>
  <Paragraphs>62</Paragraphs>
  <TotalTime>0</TotalTime>
  <ScaleCrop>false</ScaleCrop>
  <LinksUpToDate>false</LinksUpToDate>
  <CharactersWithSpaces>31388</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2019-06-14T13:23:00Z</dcterms:created>
  <dc:creator>Administrator</dc:creator>
  <cp:lastModifiedBy>东望洋</cp:lastModifiedBy>
  <cp:lastPrinted>2019-06-28T07:23:00Z</cp:lastPrinted>
  <dcterms:modified xsi:type="dcterms:W3CDTF">2019-11-30T10:21:40Z</dcterms:modified>
  <cp:revision>176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